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【图文解读】曹政办发〔2023〕2号曹县人民政府办公室 关于印发曹县推进“县乡通办”镇街赋权工作 实施方案的通知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{{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曹县人民政府办公室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2023年03月28日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