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 xml:space="preserve"> 曹县发展和改革局关于转发《省发改委关于明确天然气管道运输价格及城市门站价格的通知》的通知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 曹县发展和改革局关于转发《菏泽市发展和改革委员会关于转发&lt;省发改委关于明确天然气管道运输价格及城市门站价格的通知&gt;的通知》的通知曹发改〔2023〕13号  各有关天然气管道运输和经营企业：现将《菏泽市发展和改革委员会关于转发&lt;省发改委关于明确天然气管道运输价格及城市门站价格的通知&gt;的通知》（菏发改价格〔2022〕57号）转发你们，请遵照执行。   曹县发展和改革局                               2023年2月20日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曹县发展和改革局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2023年02月20日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