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beforeLines="-2147483648" w:after="0" w:afterLines="-2147483648" w:line="600" w:lineRule="exact"/>
        <w:ind w:left="0"/>
        <w:jc w:val="center"/>
        <w:textAlignment w:val="auto"/>
        <w:rPr>
          <w:rFonts w:hint="eastAsia" w:ascii="方正小标宋简体" w:hAnsi="方正小标宋简体" w:eastAsia="方正小标宋简体" w:cs="方正小标宋简体"/>
          <w:b w:val="0"/>
          <w:bCs/>
          <w:kern w:val="44"/>
          <w:sz w:val="44"/>
          <w:lang w:val="en-US" w:eastAsia="zh-CN" w:bidi="ar-SA"/>
        </w:rPr>
      </w:pPr>
    </w:p>
    <w:p>
      <w:pPr>
        <w:pStyle w:val="5"/>
        <w:keepNext/>
        <w:keepLines/>
        <w:pageBreakBefore w:val="0"/>
        <w:widowControl w:val="0"/>
        <w:kinsoku/>
        <w:wordWrap/>
        <w:overflowPunct/>
        <w:topLinePunct w:val="0"/>
        <w:autoSpaceDE/>
        <w:autoSpaceDN/>
        <w:bidi w:val="0"/>
        <w:adjustRightInd/>
        <w:snapToGrid/>
        <w:spacing w:before="0" w:beforeLines="-2147483648" w:after="0" w:afterLines="-2147483648" w:line="600" w:lineRule="exact"/>
        <w:ind w:left="0"/>
        <w:jc w:val="center"/>
        <w:textAlignment w:val="auto"/>
        <w:rPr>
          <w:rFonts w:hint="eastAsia" w:ascii="方正小标宋简体" w:hAnsi="方正小标宋简体" w:eastAsia="方正小标宋简体" w:cs="方正小标宋简体"/>
          <w:b w:val="0"/>
          <w:bCs/>
          <w:kern w:val="44"/>
          <w:sz w:val="44"/>
          <w:lang w:val="en-US" w:eastAsia="zh-CN" w:bidi="ar-SA"/>
        </w:rPr>
      </w:pPr>
      <w:r>
        <w:rPr>
          <w:rFonts w:hint="eastAsia" w:ascii="方正小标宋简体" w:hAnsi="方正小标宋简体" w:eastAsia="方正小标宋简体" w:cs="方正小标宋简体"/>
          <w:b w:val="0"/>
          <w:bCs/>
          <w:kern w:val="44"/>
          <w:sz w:val="44"/>
          <w:lang w:val="en-US" w:eastAsia="zh-CN" w:bidi="ar-SA"/>
        </w:rPr>
        <w:t>年度曹县财政总决算分析报告</w:t>
      </w:r>
    </w:p>
    <w:p>
      <w:pPr>
        <w:pStyle w:val="3"/>
        <w:kinsoku w:val="0"/>
        <w:overflowPunct w:val="0"/>
        <w:spacing w:before="48" w:beforeLines="0" w:afterLines="0"/>
        <w:ind w:left="0" w:right="159"/>
        <w:jc w:val="center"/>
        <w:rPr>
          <w:rFonts w:hint="eastAsia" w:ascii="黑体" w:hAnsi="黑体" w:eastAsia="黑体"/>
          <w:b/>
          <w:sz w:val="44"/>
          <w:szCs w:val="24"/>
        </w:rPr>
      </w:pPr>
    </w:p>
    <w:p>
      <w:pPr>
        <w:pageBreakBefore w:val="0"/>
        <w:numPr>
          <w:ilvl w:val="0"/>
          <w:numId w:val="0"/>
        </w:numPr>
        <w:wordWrap/>
        <w:overflowPunct/>
        <w:topLinePunct w:val="0"/>
        <w:autoSpaceDE/>
        <w:autoSpaceDN/>
        <w:bidi w:val="0"/>
        <w:adjustRightInd/>
        <w:spacing w:beforeLines="-2147483648" w:afterLines="-2147483648"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过去的一年，是发展形势愈发复杂多变、经济恢复遇到诸多挑战的一年，也是我们加快转型、实现经济回暖的一年。一年来，全县上下坚持以习近平新时代中国特色社会主义思想为指导，坚守稳中求进总基调，在县委的坚强领导下，在县人大、县政协的全力支持下，紧紧团结和依靠全县人民，务实拼搏、开拓进取，经济社会呈现稳中向好、进中提质的良好态势。2024年，我县探索“三个四”加速汉服产业发展的先进做法，荣获国务院推动高质量发展综合督查通报表扬；先后荣获全国首批农村电商“领跑县”、全国文化百强县、全省县域经济高质量发展进步县、全省工业强县等一批国家、省级荣誉称号。2024年，我县成功承办全国返乡入乡创业就业现场会、第十九届中国林交会，首次接待外国元首，走出了全国首位太空出舱“90后”航天员，极大提高了曹县的美誉度和知名度。</w:t>
      </w:r>
    </w:p>
    <w:p>
      <w:pPr>
        <w:pageBreakBefore w:val="0"/>
        <w:numPr>
          <w:ilvl w:val="0"/>
          <w:numId w:val="0"/>
        </w:numPr>
        <w:wordWrap/>
        <w:overflowPunct/>
        <w:topLinePunct w:val="0"/>
        <w:autoSpaceDE/>
        <w:autoSpaceDN/>
        <w:bidi w:val="0"/>
        <w:adjustRightInd/>
        <w:spacing w:beforeLines="-2147483648" w:afterLines="-2147483648" w:line="560" w:lineRule="exact"/>
        <w:ind w:firstLine="723" w:firstLineChars="20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第一部分</w:t>
      </w:r>
      <w:r>
        <w:rPr>
          <w:rFonts w:hint="eastAsia" w:ascii="黑体" w:hAnsi="黑体" w:eastAsia="黑体" w:cs="黑体"/>
          <w:b/>
          <w:bCs/>
          <w:kern w:val="2"/>
          <w:sz w:val="36"/>
          <w:szCs w:val="36"/>
          <w:lang w:val="en-US" w:eastAsia="zh-CN" w:bidi="ar-SA"/>
        </w:rPr>
        <w:tab/>
      </w:r>
      <w:r>
        <w:rPr>
          <w:rFonts w:hint="eastAsia" w:ascii="黑体" w:hAnsi="黑体" w:eastAsia="黑体" w:cs="黑体"/>
          <w:b/>
          <w:bCs/>
          <w:kern w:val="2"/>
          <w:sz w:val="36"/>
          <w:szCs w:val="36"/>
          <w:lang w:val="en-US" w:eastAsia="zh-CN" w:bidi="ar-SA"/>
        </w:rPr>
        <w:t>2024 年主要工作</w:t>
      </w:r>
    </w:p>
    <w:p>
      <w:pPr>
        <w:pageBreakBefore w:val="0"/>
        <w:wordWrap/>
        <w:overflowPunct/>
        <w:topLinePunct w:val="0"/>
        <w:autoSpaceDE/>
        <w:autoSpaceDN/>
        <w:bidi w:val="0"/>
        <w:adjustRightInd/>
        <w:spacing w:beforeLines="-2147483648" w:afterLines="-2147483648"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经济发展稳中有进。</w:t>
      </w:r>
      <w:r>
        <w:rPr>
          <w:rFonts w:hint="eastAsia" w:ascii="仿宋_GB2312" w:hAnsi="仿宋_GB2312" w:eastAsia="仿宋_GB2312" w:cs="仿宋_GB2312"/>
          <w:sz w:val="32"/>
          <w:szCs w:val="32"/>
          <w:highlight w:val="none"/>
          <w:lang w:val="en-US" w:eastAsia="zh-CN"/>
        </w:rPr>
        <w:t>预计实现地区生产总值616.9亿元、同比增长6%，实现一般公共预算收入28.8亿元、增长3.6%，固定资产投资增长7.5%，社会消费品零售总额增长7%，规上工业增加值增长8.2%，进出口总额增长6.3%，全体居民人均可支配收入增长6.5%，金融机构各项存贷款余额分别较年初增长10.8%、8%。</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工业经济量质双升。</w:t>
      </w:r>
      <w:r>
        <w:rPr>
          <w:rFonts w:hint="eastAsia" w:ascii="仿宋_GB2312" w:hAnsi="仿宋_GB2312" w:eastAsia="仿宋_GB2312" w:cs="仿宋_GB2312"/>
          <w:sz w:val="32"/>
          <w:szCs w:val="32"/>
          <w:highlight w:val="none"/>
          <w:lang w:val="en-US" w:eastAsia="zh-CN"/>
        </w:rPr>
        <w:t>“强基固本、提质增效”三年行动取得阶段成果，新增规上工业企业49家，规上工业产值首次突破千亿元大关、达到1080亿元；骨干企业支撑有力，正道轮胎纳税过3亿元、营收过50亿元，实现领航企业集团历史性突破。实施工业技改项目131个、全市最多，完成投资42.6亿元。亩产效益导向更加鲜明，清理盘活低效企业89家，盘活低效利用土地3598亩。</w:t>
      </w:r>
    </w:p>
    <w:p>
      <w:pPr>
        <w:ind w:firstLine="643" w:firstLineChars="200"/>
        <w:rPr>
          <w:rFonts w:hint="default" w:ascii="仿宋_GB2312" w:hAnsi="仿宋_GB2312" w:eastAsia="仿宋_GB2312" w:cs="仿宋_GB2312"/>
          <w:sz w:val="32"/>
          <w:szCs w:val="32"/>
          <w:highlight w:val="none"/>
          <w:lang w:val="en" w:eastAsia="zh-CN"/>
        </w:rPr>
      </w:pPr>
      <w:r>
        <w:rPr>
          <w:rFonts w:hint="eastAsia" w:ascii="仿宋_GB2312" w:hAnsi="仿宋_GB2312" w:eastAsia="仿宋_GB2312" w:cs="仿宋_GB2312"/>
          <w:b/>
          <w:bCs/>
          <w:sz w:val="32"/>
          <w:szCs w:val="32"/>
          <w:highlight w:val="none"/>
          <w:lang w:val="en-US" w:eastAsia="zh-CN"/>
        </w:rPr>
        <w:t>科技创新成果丰硕。</w:t>
      </w:r>
      <w:r>
        <w:rPr>
          <w:rFonts w:hint="eastAsia" w:ascii="仿宋_GB2312" w:hAnsi="仿宋_GB2312" w:eastAsia="仿宋_GB2312" w:cs="仿宋_GB2312"/>
          <w:sz w:val="32"/>
          <w:szCs w:val="32"/>
          <w:highlight w:val="none"/>
          <w:lang w:val="en-US" w:eastAsia="zh-CN"/>
        </w:rPr>
        <w:t>在全市率先开展传统产业数字化改造，智改数转取得阶段性成效。金启科技、佰世达等企业运用数字技术，打造数据采集、生产管控、智能仓储等一批数字化应用场景，全市工业企业数字化转型现场会在我县召开并推广曹县经验。25家企业获批省数字经济“晨星工厂”，曹县化工园区被评为全省数字经济园区入库型园区。企业创新主体地位更加突出，新增国家级、省级单项冠军企业各1家，新增省级“专精特新”企业25家，新入库国家科技型中小企业146家，高新技术产业产值占比达到21.83%。荣获全省人才引领县域高质量发展试点县，全年引进高层次人才30人，其中博士9人。</w:t>
      </w:r>
    </w:p>
    <w:p>
      <w:pPr>
        <w:ind w:firstLine="643"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基础设施</w:t>
      </w:r>
      <w:r>
        <w:rPr>
          <w:rFonts w:hint="eastAsia" w:ascii="仿宋_GB2312" w:hAnsi="仿宋_GB2312" w:eastAsia="仿宋_GB2312" w:cs="仿宋_GB2312"/>
          <w:b/>
          <w:bCs/>
          <w:sz w:val="32"/>
          <w:szCs w:val="32"/>
          <w:highlight w:val="none"/>
          <w:lang w:val="en-US" w:eastAsia="zh-CN"/>
        </w:rPr>
        <w:t>加快推进</w:t>
      </w:r>
      <w:r>
        <w:rPr>
          <w:rFonts w:hint="default" w:ascii="仿宋_GB2312" w:hAnsi="仿宋_GB2312" w:eastAsia="仿宋_GB2312" w:cs="仿宋_GB2312"/>
          <w:b/>
          <w:bCs/>
          <w:sz w:val="32"/>
          <w:szCs w:val="32"/>
          <w:highlight w:val="none"/>
          <w:lang w:val="en-US" w:eastAsia="zh-CN"/>
        </w:rPr>
        <w:t>。</w:t>
      </w:r>
      <w:r>
        <w:rPr>
          <w:rFonts w:hint="default" w:ascii="仿宋_GB2312" w:hAnsi="仿宋_GB2312" w:eastAsia="仿宋_GB2312" w:cs="仿宋_GB2312"/>
          <w:sz w:val="32"/>
          <w:szCs w:val="32"/>
          <w:highlight w:val="none"/>
          <w:lang w:val="en-US" w:eastAsia="zh-CN"/>
        </w:rPr>
        <w:t>雄商高铁完成</w:t>
      </w:r>
      <w:r>
        <w:rPr>
          <w:rFonts w:hint="eastAsia" w:ascii="仿宋_GB2312" w:hAnsi="仿宋_GB2312" w:eastAsia="仿宋_GB2312" w:cs="仿宋_GB2312"/>
          <w:sz w:val="32"/>
          <w:szCs w:val="32"/>
          <w:highlight w:val="none"/>
          <w:lang w:val="en-US" w:eastAsia="zh-CN"/>
        </w:rPr>
        <w:t>投资11.2</w:t>
      </w:r>
      <w:r>
        <w:rPr>
          <w:rFonts w:hint="default" w:ascii="仿宋_GB2312" w:hAnsi="仿宋_GB2312" w:eastAsia="仿宋_GB2312" w:cs="仿宋_GB2312"/>
          <w:sz w:val="32"/>
          <w:szCs w:val="32"/>
          <w:highlight w:val="none"/>
          <w:lang w:val="en-US" w:eastAsia="zh-CN"/>
        </w:rPr>
        <w:t>亿元、徐民高速完成投资</w:t>
      </w:r>
      <w:r>
        <w:rPr>
          <w:rFonts w:hint="eastAsia" w:ascii="仿宋_GB2312" w:hAnsi="仿宋_GB2312" w:eastAsia="仿宋_GB2312" w:cs="仿宋_GB2312"/>
          <w:sz w:val="32"/>
          <w:szCs w:val="32"/>
          <w:highlight w:val="none"/>
          <w:lang w:val="en-US" w:eastAsia="zh-CN"/>
        </w:rPr>
        <w:t>13.4</w:t>
      </w:r>
      <w:r>
        <w:rPr>
          <w:rFonts w:hint="default" w:ascii="仿宋_GB2312" w:hAnsi="仿宋_GB2312" w:eastAsia="仿宋_GB2312" w:cs="仿宋_GB2312"/>
          <w:sz w:val="32"/>
          <w:szCs w:val="32"/>
          <w:highlight w:val="none"/>
          <w:lang w:val="en-US" w:eastAsia="zh-CN"/>
        </w:rPr>
        <w:t>亿元、济商高速完成投资</w:t>
      </w:r>
      <w:r>
        <w:rPr>
          <w:rFonts w:hint="eastAsia" w:ascii="仿宋_GB2312" w:hAnsi="仿宋_GB2312" w:eastAsia="仿宋_GB2312" w:cs="仿宋_GB2312"/>
          <w:sz w:val="32"/>
          <w:szCs w:val="32"/>
          <w:highlight w:val="none"/>
          <w:lang w:val="en-US" w:eastAsia="zh-CN"/>
        </w:rPr>
        <w:t>5.2</w:t>
      </w:r>
      <w:r>
        <w:rPr>
          <w:rFonts w:hint="default" w:ascii="仿宋_GB2312" w:hAnsi="仿宋_GB2312" w:eastAsia="仿宋_GB2312" w:cs="仿宋_GB2312"/>
          <w:sz w:val="32"/>
          <w:szCs w:val="32"/>
          <w:highlight w:val="none"/>
          <w:lang w:val="en-US" w:eastAsia="zh-CN"/>
        </w:rPr>
        <w:t>亿元。S318郯兰线成武界至钟口段改建工程、G220东深线绕化工园区项目等重点基础设施顺利推进。</w:t>
      </w:r>
      <w:r>
        <w:rPr>
          <w:rFonts w:hint="eastAsia" w:ascii="仿宋_GB2312" w:hAnsi="仿宋_GB2312" w:eastAsia="仿宋_GB2312" w:cs="仿宋_GB2312"/>
          <w:sz w:val="32"/>
          <w:szCs w:val="32"/>
          <w:highlight w:val="none"/>
          <w:lang w:val="en-US" w:eastAsia="zh-CN"/>
        </w:rPr>
        <w:t>农村路网更加完善</w:t>
      </w:r>
      <w:r>
        <w:rPr>
          <w:rFonts w:hint="default" w:ascii="仿宋_GB2312" w:hAnsi="仿宋_GB2312" w:eastAsia="仿宋_GB2312" w:cs="仿宋_GB2312"/>
          <w:sz w:val="32"/>
          <w:szCs w:val="32"/>
          <w:highlight w:val="none"/>
          <w:lang w:val="en-US" w:eastAsia="zh-CN"/>
        </w:rPr>
        <w:t>，新修农村道路120公里</w:t>
      </w:r>
      <w:r>
        <w:rPr>
          <w:rFonts w:hint="eastAsia" w:ascii="仿宋_GB2312" w:hAnsi="仿宋_GB2312" w:eastAsia="仿宋_GB2312" w:cs="仿宋_GB2312"/>
          <w:sz w:val="32"/>
          <w:szCs w:val="32"/>
          <w:highlight w:val="none"/>
          <w:lang w:val="en-US" w:eastAsia="zh-CN"/>
        </w:rPr>
        <w:t>。内</w:t>
      </w:r>
      <w:r>
        <w:rPr>
          <w:rFonts w:hint="default" w:ascii="仿宋_GB2312" w:hAnsi="仿宋_GB2312" w:eastAsia="仿宋_GB2312" w:cs="仿宋_GB2312"/>
          <w:sz w:val="32"/>
          <w:szCs w:val="32"/>
          <w:highlight w:val="none"/>
          <w:lang w:val="en-US" w:eastAsia="zh-CN"/>
        </w:rPr>
        <w:t>陆港</w:t>
      </w:r>
      <w:r>
        <w:rPr>
          <w:rFonts w:hint="eastAsia" w:ascii="仿宋_GB2312" w:hAnsi="仿宋_GB2312" w:eastAsia="仿宋_GB2312" w:cs="仿宋_GB2312"/>
          <w:sz w:val="32"/>
          <w:szCs w:val="32"/>
          <w:highlight w:val="none"/>
          <w:lang w:val="en-US" w:eastAsia="zh-CN"/>
        </w:rPr>
        <w:t>5条铁路专线全部投运</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外贸下海量12.5万</w:t>
      </w:r>
      <w:r>
        <w:rPr>
          <w:rFonts w:hint="default" w:ascii="仿宋_GB2312" w:hAnsi="仿宋_GB2312" w:eastAsia="仿宋_GB2312" w:cs="仿宋_GB2312"/>
          <w:sz w:val="32"/>
          <w:szCs w:val="32"/>
          <w:highlight w:val="none"/>
          <w:lang w:val="en-US" w:eastAsia="zh-CN"/>
        </w:rPr>
        <w:t>标箱</w:t>
      </w:r>
      <w:r>
        <w:rPr>
          <w:rFonts w:hint="eastAsia" w:ascii="仿宋_GB2312" w:hAnsi="仿宋_GB2312" w:eastAsia="仿宋_GB2312" w:cs="仿宋_GB2312"/>
          <w:sz w:val="32"/>
          <w:szCs w:val="32"/>
          <w:highlight w:val="none"/>
          <w:lang w:val="en-US" w:eastAsia="zh-CN"/>
        </w:rPr>
        <w:t>、全省第一</w:t>
      </w:r>
      <w:r>
        <w:rPr>
          <w:rFonts w:hint="default" w:ascii="仿宋_GB2312" w:hAnsi="仿宋_GB2312" w:eastAsia="仿宋_GB2312" w:cs="仿宋_GB2312"/>
          <w:sz w:val="32"/>
          <w:szCs w:val="32"/>
          <w:highlight w:val="none"/>
          <w:lang w:val="en-US" w:eastAsia="zh-CN"/>
        </w:rPr>
        <w:t>。</w:t>
      </w:r>
    </w:p>
    <w:p>
      <w:pPr>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乡村振兴深入推进。</w:t>
      </w:r>
      <w:r>
        <w:rPr>
          <w:rFonts w:hint="eastAsia" w:ascii="仿宋_GB2312" w:hAnsi="仿宋_GB2312" w:eastAsia="仿宋_GB2312" w:cs="仿宋_GB2312"/>
          <w:sz w:val="32"/>
          <w:szCs w:val="32"/>
          <w:highlight w:val="none"/>
          <w:lang w:val="en-US" w:eastAsia="zh-CN"/>
        </w:rPr>
        <w:t>粮食总产27亿斤，实现单产、面积、总产“三增”。新增农副产品精深加工规上企业28家，荣获全省农产品加工业高质量发展先行县、全省农产品出口标杆县等称号。新增省级衔接推进区1个、市级乡村振兴示范片区2个，建成省级和美乡村5个，全省乡村文化振兴现场会在我县召开，“汉服兴昌·织绣富乡”乡村振兴项目通过农业农村部审批。完善农村供水体系，新建配套管网257公里、村内管网160公里。新建提升高标准农田8.7万亩，实施92个农村产业发展和基础设施建设项目。组织开展冬春季农田水利会战，清淤河道沟渠216条、213公里。</w:t>
      </w:r>
    </w:p>
    <w:p>
      <w:pPr>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电商产业持续火爆。</w:t>
      </w:r>
      <w:r>
        <w:rPr>
          <w:rFonts w:hint="eastAsia" w:ascii="仿宋_GB2312" w:hAnsi="仿宋_GB2312" w:eastAsia="仿宋_GB2312" w:cs="仿宋_GB2312"/>
          <w:sz w:val="32"/>
          <w:szCs w:val="32"/>
          <w:highlight w:val="none"/>
          <w:lang w:val="en-US" w:eastAsia="zh-CN"/>
        </w:rPr>
        <w:t>电商企业发展到7906家、网店8.7万个，快递发货量达1.35亿单、全市第一、增长20.5%；完成网络零售额389亿元、增长12.1%。“曹县汉服APP”上线运行，入驻企业1018家，成为全国首个汉服专用公共服务平台。连续举办三届汉服文化节和新品发布会，汉服进景区等“六进”活动顺利展开，已入驻</w:t>
      </w:r>
      <w:r>
        <w:rPr>
          <w:rFonts w:hint="default" w:ascii="仿宋_GB2312" w:hAnsi="仿宋_GB2312" w:eastAsia="仿宋_GB2312" w:cs="仿宋_GB2312"/>
          <w:sz w:val="32"/>
          <w:szCs w:val="32"/>
          <w:highlight w:val="none"/>
          <w:lang w:val="en-US" w:eastAsia="zh-CN"/>
        </w:rPr>
        <w:t>5A</w:t>
      </w:r>
      <w:r>
        <w:rPr>
          <w:rFonts w:hint="eastAsia" w:ascii="仿宋_GB2312" w:hAnsi="仿宋_GB2312" w:eastAsia="仿宋_GB2312" w:cs="仿宋_GB2312"/>
          <w:sz w:val="32"/>
          <w:szCs w:val="32"/>
          <w:highlight w:val="none"/>
          <w:lang w:val="en-US" w:eastAsia="zh-CN"/>
        </w:rPr>
        <w:t>级</w:t>
      </w:r>
      <w:r>
        <w:rPr>
          <w:rFonts w:hint="default" w:ascii="仿宋_GB2312" w:hAnsi="仿宋_GB2312" w:eastAsia="仿宋_GB2312" w:cs="仿宋_GB2312"/>
          <w:sz w:val="32"/>
          <w:szCs w:val="32"/>
          <w:highlight w:val="none"/>
          <w:lang w:val="en-US" w:eastAsia="zh-CN"/>
        </w:rPr>
        <w:t>景区61个</w:t>
      </w:r>
      <w:r>
        <w:rPr>
          <w:rFonts w:hint="eastAsia" w:ascii="仿宋_GB2312" w:hAnsi="仿宋_GB2312" w:eastAsia="仿宋_GB2312" w:cs="仿宋_GB2312"/>
          <w:sz w:val="32"/>
          <w:szCs w:val="32"/>
          <w:highlight w:val="none"/>
          <w:lang w:val="en-US" w:eastAsia="zh-CN"/>
        </w:rPr>
        <w:t>，全国景区曹县汉服占有率达90%。汉服网络零售额达到87.5亿元、增长21.5%、占全国50%以上，汉服特色产业集群被评为2024年度山东省中小企业特色产业集群。</w:t>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民生事业更加丰富。</w:t>
      </w:r>
      <w:r>
        <w:rPr>
          <w:rFonts w:hint="eastAsia" w:ascii="仿宋_GB2312" w:hAnsi="仿宋_GB2312" w:eastAsia="仿宋_GB2312" w:cs="仿宋_GB2312"/>
          <w:sz w:val="32"/>
          <w:szCs w:val="32"/>
          <w:highlight w:val="none"/>
          <w:lang w:val="en-US" w:eastAsia="zh-CN"/>
        </w:rPr>
        <w:t>城镇新增就业1.15万人，发放创业担保贷2.3亿元。基础教育水平显著提高，夏季高考成绩优异。</w:t>
      </w:r>
      <w:r>
        <w:rPr>
          <w:rFonts w:hint="default" w:ascii="仿宋_GB2312" w:hAnsi="仿宋_GB2312" w:eastAsia="仿宋_GB2312" w:cs="仿宋_GB2312"/>
          <w:sz w:val="32"/>
          <w:szCs w:val="32"/>
          <w:highlight w:val="none"/>
          <w:lang w:val="en-US" w:eastAsia="zh-CN"/>
        </w:rPr>
        <w:t>举办送文化下乡、送戏下乡、送电影下乡、一元剧场等活动1.2万场次</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黄河故道湿地</w:t>
      </w:r>
      <w:r>
        <w:rPr>
          <w:rFonts w:hint="eastAsia" w:ascii="仿宋_GB2312" w:hAnsi="仿宋_GB2312" w:eastAsia="仿宋_GB2312" w:cs="仿宋_GB2312"/>
          <w:sz w:val="32"/>
          <w:szCs w:val="32"/>
          <w:highlight w:val="none"/>
          <w:lang w:val="en-US" w:eastAsia="zh-CN"/>
        </w:rPr>
        <w:t>获评国家</w:t>
      </w:r>
      <w:r>
        <w:rPr>
          <w:rFonts w:hint="default" w:ascii="仿宋_GB2312" w:hAnsi="仿宋_GB2312" w:eastAsia="仿宋_GB2312" w:cs="仿宋_GB2312"/>
          <w:sz w:val="32"/>
          <w:szCs w:val="32"/>
          <w:highlight w:val="none"/>
          <w:lang w:val="en-US" w:eastAsia="zh-CN"/>
        </w:rPr>
        <w:t>4A</w:t>
      </w:r>
      <w:r>
        <w:rPr>
          <w:rFonts w:hint="eastAsia" w:ascii="仿宋_GB2312" w:hAnsi="仿宋_GB2312" w:eastAsia="仿宋_GB2312" w:cs="仿宋_GB2312"/>
          <w:sz w:val="32"/>
          <w:szCs w:val="32"/>
          <w:highlight w:val="none"/>
          <w:lang w:val="en-US" w:eastAsia="zh-CN"/>
        </w:rPr>
        <w:t>级</w:t>
      </w:r>
      <w:r>
        <w:rPr>
          <w:rFonts w:hint="default" w:ascii="仿宋_GB2312" w:hAnsi="仿宋_GB2312" w:eastAsia="仿宋_GB2312" w:cs="仿宋_GB2312"/>
          <w:sz w:val="32"/>
          <w:szCs w:val="32"/>
          <w:highlight w:val="none"/>
          <w:lang w:val="en-US" w:eastAsia="zh-CN"/>
        </w:rPr>
        <w:t>景区</w:t>
      </w:r>
      <w:r>
        <w:rPr>
          <w:rFonts w:hint="eastAsia" w:ascii="仿宋_GB2312" w:hAnsi="仿宋_GB2312" w:eastAsia="仿宋_GB2312" w:cs="仿宋_GB2312"/>
          <w:sz w:val="32"/>
          <w:szCs w:val="32"/>
          <w:highlight w:val="none"/>
          <w:lang w:val="en-US" w:eastAsia="zh-CN"/>
        </w:rPr>
        <w:t>，鲁西南红色教育基地获评3A级景区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保障低保、特困家庭等各类困难群众6.5万人，累计发放救助金4.8亿元。两癌筛查进展顺利，完成宫颈、乳腺筛查4.4万人。及时开展疫苗接种，全县新生儿建卡率100%，1-7岁儿童免疫接种率达到96.88%。基本医疗保险参保136.63万人，320万人次享受医保待遇。新建的疾控中心、传染病医院投入使用，提升改造142处薄弱村级卫生室，28处镇级卫生院全部建立名医基层工作站。</w:t>
      </w:r>
    </w:p>
    <w:p>
      <w:pPr>
        <w:pageBreakBefore w:val="0"/>
        <w:numPr>
          <w:ilvl w:val="0"/>
          <w:numId w:val="0"/>
        </w:numPr>
        <w:wordWrap/>
        <w:overflowPunct/>
        <w:topLinePunct w:val="0"/>
        <w:autoSpaceDE/>
        <w:autoSpaceDN/>
        <w:bidi w:val="0"/>
        <w:adjustRightInd/>
        <w:spacing w:beforeLines="-2147483648" w:afterLines="-2147483648" w:line="560" w:lineRule="exact"/>
        <w:ind w:firstLine="723" w:firstLineChars="20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第二部分 2024年曹县财政总决算基本情况</w:t>
      </w:r>
    </w:p>
    <w:p>
      <w:pPr>
        <w:pageBreakBefore w:val="0"/>
        <w:numPr>
          <w:ilvl w:val="0"/>
          <w:numId w:val="0"/>
        </w:numPr>
        <w:wordWrap/>
        <w:overflowPunct/>
        <w:topLinePunct w:val="0"/>
        <w:autoSpaceDE/>
        <w:autoSpaceDN/>
        <w:bidi w:val="0"/>
        <w:adjustRightInd/>
        <w:spacing w:beforeLines="-2147483648" w:afterLines="-2147483648" w:line="560" w:lineRule="exact"/>
        <w:ind w:firstLine="723" w:firstLineChars="200"/>
        <w:jc w:val="center"/>
        <w:textAlignment w:val="auto"/>
        <w:rPr>
          <w:rFonts w:hint="eastAsia" w:ascii="黑体" w:hAnsi="黑体" w:eastAsia="黑体" w:cs="黑体"/>
          <w:b/>
          <w:bCs/>
          <w:kern w:val="2"/>
          <w:sz w:val="36"/>
          <w:szCs w:val="36"/>
          <w:lang w:val="en-US" w:eastAsia="zh-CN" w:bidi="ar-SA"/>
        </w:rPr>
      </w:pP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w:t>
      </w:r>
      <w:r>
        <w:rPr>
          <w:rFonts w:hint="eastAsia" w:ascii="仿宋_GB2312" w:hAnsi="宋体" w:eastAsia="仿宋_GB2312"/>
          <w:b/>
          <w:sz w:val="32"/>
          <w:szCs w:val="32"/>
          <w:lang w:val="en-US" w:eastAsia="zh-CN"/>
        </w:rPr>
        <w:t>一般</w:t>
      </w:r>
      <w:r>
        <w:rPr>
          <w:rFonts w:hint="eastAsia" w:ascii="仿宋_GB2312" w:hAnsi="宋体" w:eastAsia="仿宋_GB2312"/>
          <w:b/>
          <w:sz w:val="32"/>
          <w:szCs w:val="32"/>
        </w:rPr>
        <w:t>公共预算收支情况</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（一）收入完成情况</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-12月份，曹县一般公共预算收入完成28.75亿元，总量居全市各县区（不含鲁西新区，下同）第5位；增长3.6%，增幅居全市各县区并列第3位。税收收入完成18.73亿元，总量居全市各县区第5位，下降2.6%，增幅居全市各县区第3位。税收比重65.2%，居全市各县区第2位。非税收入完成10.02亿元，总量位居全市各县区第5位；增长26.9%，增幅位居全市各县区第8位。</w:t>
      </w:r>
    </w:p>
    <w:p>
      <w:pPr>
        <w:jc w:val="both"/>
        <w:rPr>
          <w:rFonts w:hint="eastAsia" w:ascii="仿宋_GB2312" w:hAnsi="宋体" w:eastAsia="仿宋_GB2312"/>
          <w:b/>
          <w:sz w:val="32"/>
          <w:szCs w:val="32"/>
        </w:rPr>
      </w:pPr>
      <w:r>
        <w:drawing>
          <wp:inline distT="0" distB="0" distL="114300" distR="114300">
            <wp:extent cx="5270500" cy="2684145"/>
            <wp:effectExtent l="0" t="0" r="6350" b="1905"/>
            <wp:docPr id="115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3" w:firstLineChars="200"/>
        <w:rPr>
          <w:rFonts w:ascii="仿宋_GB2312" w:hAnsi="宋体" w:eastAsia="仿宋_GB2312"/>
          <w:sz w:val="32"/>
          <w:szCs w:val="32"/>
        </w:rPr>
      </w:pPr>
      <w:r>
        <w:rPr>
          <w:rFonts w:hint="eastAsia" w:ascii="仿宋_GB2312" w:hAnsi="宋体" w:eastAsia="仿宋_GB2312"/>
          <w:b/>
          <w:sz w:val="32"/>
          <w:szCs w:val="32"/>
        </w:rPr>
        <w:t>分结构看：</w:t>
      </w:r>
      <w:r>
        <w:rPr>
          <w:rFonts w:hint="eastAsia" w:ascii="仿宋_GB2312" w:hAnsi="仿宋_GB2312" w:eastAsia="仿宋_GB2312" w:cs="仿宋_GB2312"/>
          <w:sz w:val="32"/>
          <w:szCs w:val="32"/>
          <w:highlight w:val="none"/>
          <w:lang w:val="en-US" w:eastAsia="zh-CN"/>
        </w:rPr>
        <w:t>税收收入完成187332万元，同比降低2.6%；非税收入完成100190万元，同比增长34.8%。</w:t>
      </w:r>
    </w:p>
    <w:p>
      <w:pPr>
        <w:jc w:val="both"/>
        <w:rPr>
          <w:rFonts w:hint="eastAsia" w:ascii="仿宋_GB2312" w:hAnsi="宋体" w:eastAsia="仿宋_GB2312"/>
          <w:b/>
          <w:sz w:val="32"/>
          <w:szCs w:val="32"/>
        </w:rPr>
      </w:pPr>
      <w:r>
        <w:drawing>
          <wp:inline distT="0" distB="0" distL="114300" distR="114300">
            <wp:extent cx="5271770" cy="2668905"/>
            <wp:effectExtent l="0" t="0" r="5080" b="17145"/>
            <wp:docPr id="71172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b/>
          <w:sz w:val="32"/>
          <w:szCs w:val="32"/>
        </w:rPr>
        <w:t>分税种看：</w:t>
      </w:r>
      <w:r>
        <w:rPr>
          <w:rFonts w:hint="eastAsia" w:ascii="仿宋_GB2312" w:hAnsi="仿宋_GB2312" w:eastAsia="仿宋_GB2312" w:cs="仿宋_GB2312"/>
          <w:sz w:val="32"/>
          <w:szCs w:val="32"/>
          <w:highlight w:val="none"/>
          <w:lang w:val="en-US" w:eastAsia="zh-CN"/>
        </w:rPr>
        <w:t>国内增值税完成75780万元，同比降幅19.3%。增值税较去年同期减收16887万元，主要减收原因是国内经济形势不佳，造成企业业务活动减少，开票较往年下降较多；增值税留抵退税4148万元，较去年减少1591万元；企业所得税完成19072万元，增收2595万元，同比增长15.8%，企业所得税较去年有所增加主要原因是主要因正道轮胎今年缴纳企业所得税较多，一定程度上掩盖了企业所得税下降的现实；个人所得税完成3096万元，增收295万元，同比增长10.5%；资源税完成1138万元，较去年增收171万元，同比增长17.7%，主要原因是1月份清理曹县睿源水务发展有限公司欠缴税款569万元；城建税完成6433万元，较去年减少1660万元，同比降幅20.5%，主要原因是增值税减收导致附征城建税也相应下滑；房产税完成8211万元，较去年增收1144万元，同比增幅16.2%。主要原因是商都、财金和农投补交房产税；印花税完成4018万元，较去年增收46万元，同比增幅1.2%；土地使用税16067万元，较去年增收4595万元，同比增长40.1%，主要原因是曹县中晟太阳能发电有限公司补缴以往年度4150万元；土地增值税7918万元，较去年增收282万元，同比增幅3.7%；车船税完成5605万元，较去年减收1161万元，同比降幅17.2%，主要原因是华海保险不继续在我县开展业务；耕地占用税完成16182万元，较去年增收5344万元，同比增幅49.3%，主要原因是土地储备中心缴纳耕地占用税；契税完成23235万元，较去年增收2710万元，同比增幅13.2%，主要原因是建安、宏安、商投补缴以往年度欠税；环保税577万元，较去年减收1318万元，同比降幅69.6%。</w:t>
      </w:r>
    </w:p>
    <w:p>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主体税种完成97948万元，较去年降幅13.42个百分点，占税收收入的比重52.29%。小税种完成89384万元，较去年增幅12.81个百分点。</w:t>
      </w:r>
    </w:p>
    <w:p>
      <w:pPr>
        <w:pStyle w:val="7"/>
        <w:jc w:val="center"/>
      </w:pPr>
      <w:r>
        <w:drawing>
          <wp:inline distT="0" distB="0" distL="114300" distR="114300">
            <wp:extent cx="2514600" cy="2343785"/>
            <wp:effectExtent l="0" t="0" r="0" b="18415"/>
            <wp:docPr id="53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drawing>
          <wp:inline distT="0" distB="0" distL="114300" distR="114300">
            <wp:extent cx="2390775" cy="2296160"/>
            <wp:effectExtent l="0" t="0" r="9525" b="8890"/>
            <wp:docPr id="5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b/>
          <w:sz w:val="32"/>
          <w:szCs w:val="32"/>
        </w:rPr>
        <w:t>分部门看：</w:t>
      </w:r>
      <w:r>
        <w:rPr>
          <w:rFonts w:hint="eastAsia" w:ascii="仿宋_GB2312" w:hAnsi="仿宋_GB2312" w:eastAsia="仿宋_GB2312" w:cs="仿宋_GB2312"/>
          <w:sz w:val="32"/>
          <w:szCs w:val="32"/>
          <w:highlight w:val="none"/>
          <w:lang w:val="en-US" w:eastAsia="zh-CN"/>
        </w:rPr>
        <w:t>税务局完成198499万元，同比降低5.8%；财政局完成93171万元，同比增长28.3%。</w:t>
      </w:r>
    </w:p>
    <w:p>
      <w:pPr>
        <w:ind w:firstLine="480" w:firstLineChars="200"/>
        <w:jc w:val="center"/>
        <w:rPr>
          <w:rFonts w:hint="eastAsia" w:ascii="仿宋_GB2312" w:hAnsi="宋体" w:eastAsia="仿宋_GB2312"/>
          <w:sz w:val="32"/>
          <w:szCs w:val="32"/>
        </w:rPr>
      </w:pPr>
      <w:r>
        <w:drawing>
          <wp:inline distT="0" distB="0" distL="114300" distR="114300">
            <wp:extent cx="2314575" cy="1809750"/>
            <wp:effectExtent l="0" t="0" r="9525" b="0"/>
            <wp:docPr id="71278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drawing>
          <wp:inline distT="0" distB="0" distL="114300" distR="114300">
            <wp:extent cx="2371725" cy="1762125"/>
            <wp:effectExtent l="0" t="0" r="9525" b="9525"/>
            <wp:docPr id="71279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1-12月份我县完成财税总收入408518万元，同比降幅0.3%。其中：税务部门完成315347万元，同比降幅8%；财政部门完成93171万元，同比增幅28.3%。</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（二）支出完成情况</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-12月份，曹县一般公共预算支出完成788151万元，较去年同期增幅1.82%；完成年初预算的88.47%。其中：一般公共服务支出46581万元，国防支出840万元，公共安全支出16506万元，教育支出198664万元，科学技术支出2039万元，文化旅游体育与传媒支出5062万元，社会保障和就业支出249234万元，卫生健康支出50117万元，节能环保支出5642万元，城乡社区支出35928万元，农林水支出98735万元，交通运输支出5091万元，资源勘探信息支出1118万元，商业服务业支出1359万元，金融支出19万元，自然资源海洋气象等支出3590万元，住房保障支出9386万元，粮油物资储备支出4259万元，灾害防治及应急管理支出2751万元，其他支出46647万元，债务付息支出4583万元。其中教科文卫、社保、环保、城乡、农林水、住房保障等民生重点支出654807万元，占一般公共预算支出的83.08%，较去年同期提高了0.47个百分点</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二、政府性基金收支情况</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（一）收入完成情况</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-12月份我县政府性基金收入完成536528万元，同比增幅11.2%。国有土地使用权出让收入497799万元，彩票公益金收入2706万元，城市基础设施配套费收入21139万元，污水处理费收入1807万元，专项债务对应项目专项收入13077万元。</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（二）支出完成情况</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1-12月份政府性基金支出751267万元，同比增幅16.8%。其中：文化体育和传媒支出1万元，城乡社区支出589704万元（国有土地使用权出让收入安排的支出504246万元、        城市基础设施配套费安排的支出13751万元、污水处理费安排的支出1707万元、棚户区改造专项债安排的支出70000万元），农林水支出4687万元，其他支出122034万元，债券付息支出34841万元。</w:t>
      </w:r>
    </w:p>
    <w:p>
      <w:pPr>
        <w:ind w:firstLine="640"/>
        <w:rPr>
          <w:rFonts w:ascii="仿宋_GB2312" w:hAnsi="宋体" w:eastAsia="仿宋_GB2312"/>
          <w:b/>
          <w:sz w:val="32"/>
          <w:szCs w:val="32"/>
        </w:rPr>
      </w:pPr>
      <w:r>
        <w:rPr>
          <w:rFonts w:hint="eastAsia" w:ascii="仿宋_GB2312" w:hAnsi="宋体" w:eastAsia="仿宋_GB2312"/>
          <w:b/>
          <w:sz w:val="32"/>
          <w:szCs w:val="32"/>
        </w:rPr>
        <w:t>三、</w:t>
      </w:r>
      <w:r>
        <w:rPr>
          <w:rFonts w:hint="eastAsia" w:ascii="仿宋_GB2312" w:hAnsi="宋体" w:eastAsia="仿宋_GB2312"/>
          <w:b/>
          <w:sz w:val="32"/>
          <w:szCs w:val="32"/>
          <w:lang w:eastAsia="zh-CN"/>
        </w:rPr>
        <w:t>镇街</w:t>
      </w:r>
      <w:r>
        <w:rPr>
          <w:rFonts w:hint="eastAsia" w:ascii="仿宋_GB2312" w:hAnsi="宋体" w:eastAsia="仿宋_GB2312"/>
          <w:b/>
          <w:sz w:val="32"/>
          <w:szCs w:val="32"/>
        </w:rPr>
        <w:t>级收入情况</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-12月份镇街级收入完成107625万元，同比降低17.5%。青菏办完成20278万元，增收3553万元，总量和增量均位居第一位。庄寨镇完成19294万元，总量位居第二位。磐石办完成15369万元，增收510万元，总量位居第三位。仵楼镇、倪集办、青岗集镇和普连集镇分别增收1043万元、184万元、73万元和22万元。其余乡镇增量均为负数，朱洪庙与庄寨镇分别减收1869万元和13605万元。</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-12月份镇街税务收入完成188433万元，同比下降105.7%。青菏办完成37378万元，增收8722万元，总量和增量均为第1位。庄寨镇完成33920万元、磐石办完成29229万元、普连集镇完成10073万元，5个镇街办事处增幅为正,其余镇街增幅为负。</w:t>
      </w:r>
    </w:p>
    <w:p>
      <w:pPr>
        <w:tabs>
          <w:tab w:val="left" w:pos="630"/>
        </w:tabs>
        <w:bidi w:val="0"/>
        <w:ind w:firstLine="643" w:firstLineChars="200"/>
        <w:jc w:val="left"/>
        <w:rPr>
          <w:rFonts w:hint="default" w:ascii="Times New Roman" w:hAnsi="Times New Roman" w:eastAsia="仿宋_GB2312" w:cs="Times New Roman"/>
          <w:b w:val="0"/>
          <w:bCs w:val="0"/>
          <w:kern w:val="2"/>
          <w:sz w:val="32"/>
          <w:szCs w:val="32"/>
          <w:highlight w:val="yellow"/>
          <w:lang w:val="en-US" w:eastAsia="zh-CN" w:bidi="ar-SA"/>
        </w:rPr>
      </w:pPr>
      <w:r>
        <w:rPr>
          <w:rFonts w:hint="eastAsia" w:ascii="仿宋_GB2312" w:hAnsi="仿宋_GB2312" w:eastAsia="仿宋_GB2312" w:cs="仿宋_GB2312"/>
          <w:b/>
          <w:sz w:val="32"/>
          <w:szCs w:val="32"/>
        </w:rPr>
        <w:t>四、</w:t>
      </w:r>
      <w:r>
        <w:rPr>
          <w:rFonts w:hint="eastAsia" w:ascii="仿宋_GB2312" w:hAnsi="仿宋_GB2312" w:eastAsia="仿宋_GB2312" w:cs="仿宋_GB2312"/>
          <w:b/>
          <w:sz w:val="32"/>
          <w:szCs w:val="32"/>
          <w:lang w:val="en-US" w:eastAsia="zh-CN"/>
        </w:rPr>
        <w:t>分行业情况</w:t>
      </w:r>
    </w:p>
    <w:p>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税务部门分行业报表显示，1-12月份我县实现税收（全口径）317051万元，较去年同期下降6%。20个行业中有11个行业增幅为正。其中：制造业纳税151122万元，较去年同期下降13%，占全县税收的48%。房地产业纳税38978万元、建筑业纳税32168万元、金融业纳税24394万元、公共管理、社会保障和社会组织（主要是土地储备中心）纳税21788万元，位居我县行业纳税前5名。4个行业呈现下降趋势，说明目前市场经济不景气，企业订单减少，导致税收下滑。</w:t>
      </w:r>
    </w:p>
    <w:p>
      <w:pPr>
        <w:tabs>
          <w:tab w:val="left" w:pos="630"/>
        </w:tabs>
        <w:bidi w:val="0"/>
        <w:ind w:firstLine="643" w:firstLineChars="200"/>
        <w:jc w:val="left"/>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五、规上企业纳税情况</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505家规上企业纳税128069万元，增收1697万元，较去年同期增长1.3%，占全县税收的40%。纳税过1000万元的有14家，纳税小计71514万元，占规上企业纳税的56%，分别是正道轮胎有限公司（30675万元）、山东圣奥化学科技有限公司（7242万元）、山东凯旋橡胶有限公司（5663万元）、山东省三利轮胎制造有限公司（5145万元）、山东省雅尚名品家居有限公司（4480万元）、曹县中晟太阳能发电有限公司（4470万元）、曹县百隆纺织有限公司（3141万元）、曹县慕斯特工艺品有限公司(2548万元)、曹县鲁艺广发工艺品有限公司（1597万元）、菏泽盛庆食品有限公司（1384万元）、山东尚维医疗用品有限公司（1348万元）、曹县百通宏达热力有限公司（1338万元）、菏泽华升木制品有限公司（1321万元）、山东富茂工艺品有限公司（1165万元）。纳税100-1000万元的有161家，纳税小计14751万元，纳税不足100万元的有309家，纳税小计14804万元。纳税为0万元企业有21家。</w:t>
      </w:r>
    </w:p>
    <w:p>
      <w:pPr>
        <w:pageBreakBefore w:val="0"/>
        <w:numPr>
          <w:ilvl w:val="0"/>
          <w:numId w:val="0"/>
        </w:numPr>
        <w:wordWrap/>
        <w:overflowPunct/>
        <w:topLinePunct w:val="0"/>
        <w:autoSpaceDE/>
        <w:autoSpaceDN/>
        <w:bidi w:val="0"/>
        <w:adjustRightInd/>
        <w:spacing w:beforeLines="-2147483648" w:afterLines="-2147483648" w:line="560" w:lineRule="exact"/>
        <w:ind w:firstLine="723" w:firstLineChars="200"/>
        <w:jc w:val="center"/>
        <w:textAlignment w:val="auto"/>
        <w:rPr>
          <w:rFonts w:hint="eastAsia" w:ascii="黑体" w:hAnsi="黑体" w:eastAsia="黑体" w:cs="黑体"/>
          <w:b/>
          <w:bCs/>
          <w:kern w:val="2"/>
          <w:sz w:val="36"/>
          <w:szCs w:val="36"/>
          <w:highlight w:val="none"/>
          <w:lang w:val="en-US" w:eastAsia="zh-CN" w:bidi="ar-SA"/>
        </w:rPr>
      </w:pPr>
      <w:r>
        <w:rPr>
          <w:rFonts w:hint="eastAsia" w:ascii="黑体" w:hAnsi="黑体" w:eastAsia="黑体" w:cs="黑体"/>
          <w:b/>
          <w:bCs/>
          <w:kern w:val="2"/>
          <w:sz w:val="36"/>
          <w:szCs w:val="36"/>
          <w:highlight w:val="none"/>
          <w:lang w:val="en-US" w:eastAsia="zh-CN" w:bidi="ar-SA"/>
        </w:rPr>
        <w:t>第三部分  2024年财政主要工作</w:t>
      </w:r>
    </w:p>
    <w:p>
      <w:pPr>
        <w:keepNext w:val="0"/>
        <w:keepLines w:val="0"/>
        <w:pageBreakBefore w:val="0"/>
        <w:widowControl w:val="0"/>
        <w:numPr>
          <w:ilvl w:val="0"/>
          <w:numId w:val="0"/>
        </w:numPr>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outlineLvl w:val="1"/>
        <w:rPr>
          <w:rFonts w:hint="default" w:ascii="楷体_GB2312" w:hAnsi="楷体_GB2312" w:eastAsia="楷体_GB2312" w:cs="楷体_GB2312"/>
          <w:b/>
          <w:bCs w:val="0"/>
          <w:color w:val="000000"/>
          <w:sz w:val="32"/>
          <w:szCs w:val="32"/>
          <w:highlight w:val="none"/>
          <w:lang w:eastAsia="zh-CN"/>
        </w:rPr>
      </w:pPr>
      <w:r>
        <w:rPr>
          <w:rFonts w:hint="default" w:ascii="楷体_GB2312" w:hAnsi="楷体_GB2312" w:eastAsia="楷体_GB2312" w:cs="楷体_GB2312"/>
          <w:b/>
          <w:bCs w:val="0"/>
          <w:color w:val="000000"/>
          <w:kern w:val="2"/>
          <w:sz w:val="32"/>
          <w:szCs w:val="32"/>
          <w:highlight w:val="none"/>
          <w:lang w:val="en-US" w:eastAsia="zh-CN" w:bidi="ar-SA"/>
        </w:rPr>
        <w:t>（一）一般公共预算执行情况</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outlineLvl w:val="2"/>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1.一般公共预算收入情况</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2024年，全县一般公共预算收入287522万元，同比增长3.6%。其中：税收收入187332万元，非税收入100190万元。</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outlineLvl w:val="2"/>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2.一般公共预算支出情况</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2024年，全县一般公共预算支出788151万元。按支出科目分：一般公共服务支出46581万元，国防、公共安全支出17346万元，教育、科技、文化旅游体育与传媒支出205765万元，社会保障和就业支出249234万元，卫生健康支出50117万元，节能环保支出5642万元，城乡社区事务支出35928万元，农林水事务支出98735万元，交通运输支出5091万元，资源勘探工业信息等事务支出1118万元，商业服务业、金融等事务支出1378万元，自然资源海洋气象等事务支出3590万元，住房保障支出9386万元，粮油物资储备支出4259万元，灾害防治及应急管理支出2751万元，债务付息支出4583万元，其他支出46647万元。</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outlineLvl w:val="2"/>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3.一般公共预算平衡情况</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none"/>
          <w:lang w:eastAsia="zh-CN"/>
        </w:rPr>
      </w:pPr>
      <w:r>
        <w:rPr>
          <w:rFonts w:hint="eastAsia" w:ascii="仿宋_GB2312" w:hAnsi="仿宋_GB2312" w:eastAsia="仿宋_GB2312" w:cs="仿宋_GB2312"/>
          <w:b/>
          <w:bCs w:val="0"/>
          <w:color w:val="000000"/>
          <w:kern w:val="2"/>
          <w:sz w:val="32"/>
          <w:szCs w:val="32"/>
          <w:highlight w:val="none"/>
          <w:lang w:val="en-US" w:eastAsia="zh-CN" w:bidi="ar-SA"/>
        </w:rPr>
        <w:t>当年全县一般公共预算收入287522万元，加地方政府债券收入、上级税收返还、转移支付补助及上年结转收入等711695万元，收入共计999217万元。当年全县一般公共预算支出788151万元，上解上级支出60237万元，债务还本支出21580万元，安排预算稳定调节基金24892万元，结转下年支出104357万元。收支相抵，当年财政收支平衡。</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4.县级“三保”预算执行情况</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按照上级统计口径，2024年全县“三保”预算支出596303万元，其中“保基本民生”支出247730万元、“保工资”支出336384万元、“保运转”支出12189万元，各项支出严格执行中央和省规定标准，不存在“三保”保障缺口。</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outlineLvl w:val="1"/>
        <w:rPr>
          <w:rFonts w:hint="default" w:ascii="Times New Roman" w:hAnsi="Times New Roman" w:eastAsia="仿宋_GB2312" w:cs="Times New Roman"/>
          <w:b/>
          <w:bCs w:val="0"/>
          <w:color w:val="000000"/>
          <w:sz w:val="32"/>
          <w:szCs w:val="32"/>
          <w:highlight w:val="none"/>
        </w:rPr>
      </w:pPr>
      <w:r>
        <w:rPr>
          <w:rFonts w:hint="default" w:ascii="Times New Roman" w:hAnsi="Times New Roman" w:eastAsia="楷体_GB2312" w:cs="Times New Roman"/>
          <w:b/>
          <w:bCs w:val="0"/>
          <w:color w:val="000000"/>
          <w:kern w:val="2"/>
          <w:sz w:val="32"/>
          <w:szCs w:val="32"/>
          <w:highlight w:val="none"/>
          <w:lang w:val="en-US" w:eastAsia="zh-CN" w:bidi="ar-SA"/>
        </w:rPr>
        <w:t>（二）</w:t>
      </w:r>
      <w:r>
        <w:rPr>
          <w:rFonts w:hint="default" w:ascii="Times New Roman" w:hAnsi="Times New Roman" w:eastAsia="楷体" w:cs="Times New Roman"/>
          <w:b/>
          <w:bCs w:val="0"/>
          <w:color w:val="000000"/>
          <w:kern w:val="2"/>
          <w:sz w:val="32"/>
          <w:szCs w:val="32"/>
          <w:highlight w:val="none"/>
          <w:lang w:val="en-US" w:eastAsia="zh-CN" w:bidi="ar-SA"/>
        </w:rPr>
        <w:t>政</w:t>
      </w:r>
      <w:r>
        <w:rPr>
          <w:rFonts w:hint="eastAsia" w:ascii="楷体_GB2312" w:hAnsi="楷体_GB2312" w:eastAsia="楷体_GB2312" w:cs="楷体_GB2312"/>
          <w:b/>
          <w:bCs w:val="0"/>
          <w:color w:val="000000"/>
          <w:kern w:val="2"/>
          <w:sz w:val="32"/>
          <w:szCs w:val="32"/>
          <w:highlight w:val="none"/>
          <w:lang w:val="en-US" w:eastAsia="zh-CN" w:bidi="ar-SA"/>
        </w:rPr>
        <w:t>府性基金预算执行情况</w:t>
      </w:r>
    </w:p>
    <w:p>
      <w:pPr>
        <w:keepNext w:val="0"/>
        <w:keepLines w:val="0"/>
        <w:pageBreakBefore w:val="0"/>
        <w:widowControl w:val="0"/>
        <w:kinsoku/>
        <w:wordWrap/>
        <w:overflowPunct/>
        <w:topLinePunct w:val="0"/>
        <w:autoSpaceDE/>
        <w:autoSpaceDN/>
        <w:bidi w:val="0"/>
        <w:adjustRightInd w:val="0"/>
        <w:snapToGrid/>
        <w:spacing w:beforeLines="-2147483648" w:afterLines="-2147483648" w:line="240" w:lineRule="auto"/>
        <w:ind w:firstLine="619" w:firstLineChars="200"/>
        <w:jc w:val="both"/>
        <w:textAlignment w:val="auto"/>
        <w:rPr>
          <w:rFonts w:hint="eastAsia" w:ascii="仿宋_GB2312" w:hAnsi="仿宋_GB2312" w:eastAsia="仿宋_GB2312" w:cs="仿宋_GB2312"/>
          <w:b/>
          <w:bCs w:val="0"/>
          <w:color w:val="000000"/>
          <w:spacing w:val="-6"/>
          <w:sz w:val="32"/>
          <w:szCs w:val="32"/>
          <w:highlight w:val="none"/>
        </w:rPr>
      </w:pPr>
      <w:r>
        <w:rPr>
          <w:rFonts w:hint="eastAsia" w:ascii="仿宋_GB2312" w:hAnsi="仿宋_GB2312" w:eastAsia="仿宋_GB2312" w:cs="仿宋_GB2312"/>
          <w:b/>
          <w:bCs w:val="0"/>
          <w:color w:val="000000"/>
          <w:spacing w:val="-6"/>
          <w:kern w:val="2"/>
          <w:sz w:val="32"/>
          <w:szCs w:val="32"/>
          <w:highlight w:val="none"/>
          <w:lang w:val="en-US" w:eastAsia="zh-CN" w:bidi="ar-SA"/>
        </w:rPr>
        <w:t>2024年</w:t>
      </w:r>
      <w:r>
        <w:rPr>
          <w:rFonts w:hint="eastAsia" w:ascii="仿宋_GB2312" w:hAnsi="仿宋_GB2312" w:eastAsia="仿宋_GB2312" w:cs="仿宋_GB2312"/>
          <w:b/>
          <w:bCs w:val="0"/>
          <w:color w:val="000000"/>
          <w:kern w:val="2"/>
          <w:sz w:val="32"/>
          <w:szCs w:val="32"/>
          <w:highlight w:val="none"/>
          <w:lang w:val="en-US" w:eastAsia="zh-CN" w:bidi="ar-SA"/>
        </w:rPr>
        <w:t>，</w:t>
      </w:r>
      <w:r>
        <w:rPr>
          <w:rFonts w:hint="eastAsia" w:ascii="仿宋_GB2312" w:hAnsi="仿宋_GB2312" w:eastAsia="仿宋_GB2312" w:cs="仿宋_GB2312"/>
          <w:b/>
          <w:bCs w:val="0"/>
          <w:color w:val="000000"/>
          <w:spacing w:val="-6"/>
          <w:kern w:val="2"/>
          <w:sz w:val="32"/>
          <w:szCs w:val="32"/>
          <w:highlight w:val="none"/>
          <w:lang w:val="en-US" w:eastAsia="zh-CN" w:bidi="ar-SA"/>
        </w:rPr>
        <w:t>全县政府性基金收入536528万元，上级补助收入28673万元，地方政府专项债券552560万元，上年结转116502万元，收入共计1234263万元。全县政府性基金支出751267万元，地方政府专项债务还本支出360200万元，调出资金12344万元，上解上级支出442万元，结转下年110010万元。收支相抵，当年政府性基金收支平衡。</w:t>
      </w:r>
    </w:p>
    <w:p>
      <w:pPr>
        <w:keepNext w:val="0"/>
        <w:keepLines w:val="0"/>
        <w:pageBreakBefore w:val="0"/>
        <w:widowControl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none"/>
        </w:rPr>
      </w:pPr>
      <w:r>
        <w:rPr>
          <w:rFonts w:hint="eastAsia" w:ascii="楷体_GB2312" w:hAnsi="楷体_GB2312" w:eastAsia="楷体_GB2312" w:cs="楷体_GB2312"/>
          <w:b/>
          <w:bCs w:val="0"/>
          <w:color w:val="000000"/>
          <w:kern w:val="2"/>
          <w:sz w:val="32"/>
          <w:szCs w:val="32"/>
          <w:highlight w:val="none"/>
          <w:lang w:val="en-US" w:eastAsia="zh-CN" w:bidi="ar-SA"/>
        </w:rPr>
        <w:t>（三）国有资本经营预算执行情况</w:t>
      </w:r>
    </w:p>
    <w:p>
      <w:pPr>
        <w:keepNext w:val="0"/>
        <w:keepLines w:val="0"/>
        <w:pageBreakBefore w:val="0"/>
        <w:widowControl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rPr>
          <w:rFonts w:hint="eastAsia" w:ascii="楷体_GB2312" w:hAnsi="楷体_GB2312" w:eastAsia="楷体_GB2312" w:cs="楷体_GB2312"/>
          <w:b/>
          <w:bCs w:val="0"/>
          <w:color w:val="000000"/>
          <w:sz w:val="32"/>
          <w:szCs w:val="32"/>
          <w:highlight w:val="none"/>
        </w:rPr>
      </w:pPr>
      <w:r>
        <w:rPr>
          <w:rFonts w:hint="eastAsia" w:ascii="仿宋_GB2312" w:hAnsi="仿宋_GB2312" w:eastAsia="仿宋_GB2312" w:cs="仿宋_GB2312"/>
          <w:b/>
          <w:bCs w:val="0"/>
          <w:color w:val="000000"/>
          <w:kern w:val="2"/>
          <w:sz w:val="32"/>
          <w:szCs w:val="32"/>
          <w:highlight w:val="none"/>
          <w:lang w:val="en-US" w:eastAsia="zh-CN" w:bidi="ar-SA"/>
        </w:rPr>
        <w:t>2024年，全县国有资本经营预算收入共计2140万元，其中上级补助收入32万元、上年结转收入108万元。全县国有资本经营预算支出1554万元，结转下年586万元，支出共计2140万元。收支相抵，当年国有资本经营预算收支平衡。</w:t>
      </w:r>
    </w:p>
    <w:p>
      <w:pPr>
        <w:keepNext w:val="0"/>
        <w:keepLines w:val="0"/>
        <w:pageBreakBefore w:val="0"/>
        <w:widowControl w:val="0"/>
        <w:numPr>
          <w:ilvl w:val="0"/>
          <w:numId w:val="0"/>
        </w:numPr>
        <w:kinsoku/>
        <w:wordWrap/>
        <w:overflowPunct/>
        <w:topLinePunct w:val="0"/>
        <w:autoSpaceDE/>
        <w:autoSpaceDN/>
        <w:bidi w:val="0"/>
        <w:adjustRightInd w:val="0"/>
        <w:snapToGrid/>
        <w:spacing w:beforeLines="-2147483648" w:afterLines="-2147483648" w:line="240" w:lineRule="auto"/>
        <w:ind w:firstLine="643" w:firstLineChars="200"/>
        <w:jc w:val="both"/>
        <w:textAlignment w:val="auto"/>
        <w:outlineLvl w:val="1"/>
        <w:rPr>
          <w:rFonts w:hint="eastAsia" w:ascii="楷体_GB2312" w:hAnsi="楷体_GB2312" w:eastAsia="楷体_GB2312" w:cs="楷体_GB2312"/>
          <w:b/>
          <w:bCs w:val="0"/>
          <w:color w:val="000000"/>
          <w:sz w:val="32"/>
          <w:szCs w:val="32"/>
          <w:highlight w:val="none"/>
        </w:rPr>
      </w:pPr>
      <w:r>
        <w:rPr>
          <w:rFonts w:hint="eastAsia" w:ascii="楷体_GB2312" w:hAnsi="楷体_GB2312" w:eastAsia="楷体_GB2312" w:cs="楷体_GB2312"/>
          <w:b/>
          <w:bCs w:val="0"/>
          <w:color w:val="000000"/>
          <w:kern w:val="2"/>
          <w:sz w:val="32"/>
          <w:szCs w:val="32"/>
          <w:highlight w:val="none"/>
          <w:lang w:val="en-US" w:eastAsia="zh-CN" w:bidi="ar-SA"/>
        </w:rPr>
        <w:t>（四）社保基金预算执行情况</w:t>
      </w:r>
    </w:p>
    <w:p>
      <w:pPr>
        <w:keepNext w:val="0"/>
        <w:keepLines w:val="0"/>
        <w:pageBreakBefore w:val="0"/>
        <w:widowControl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yellow"/>
          <w:lang w:eastAsia="zh-CN"/>
        </w:rPr>
      </w:pPr>
      <w:r>
        <w:rPr>
          <w:rFonts w:hint="eastAsia" w:ascii="仿宋_GB2312" w:hAnsi="仿宋_GB2312" w:eastAsia="仿宋_GB2312" w:cs="仿宋_GB2312"/>
          <w:b/>
          <w:bCs w:val="0"/>
          <w:color w:val="000000"/>
          <w:kern w:val="2"/>
          <w:sz w:val="32"/>
          <w:szCs w:val="32"/>
          <w:highlight w:val="none"/>
          <w:lang w:val="en-US" w:eastAsia="zh-CN" w:bidi="ar-SA"/>
        </w:rPr>
        <w:t>2024年，全县社会保险基金收入196012万元（城乡居民基本养老保险收入90414万元、机关事业基本养老保险收入105598万元）。全县社会保险基金支出171119万元（城乡居民基本养老保险支出65835万元、机关事业基本养老保险支出105284万元）。当年收支结余24893万元，年末滚存结余219976万元。</w:t>
      </w:r>
    </w:p>
    <w:p>
      <w:pPr>
        <w:keepNext w:val="0"/>
        <w:keepLines w:val="0"/>
        <w:pageBreakBefore w:val="0"/>
        <w:widowControl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outlineLvl w:val="1"/>
        <w:rPr>
          <w:rFonts w:hint="eastAsia" w:ascii="楷体_GB2312" w:hAnsi="楷体_GB2312" w:eastAsia="楷体_GB2312" w:cs="楷体_GB2312"/>
          <w:b/>
          <w:bCs w:val="0"/>
          <w:color w:val="000000"/>
          <w:sz w:val="32"/>
          <w:szCs w:val="32"/>
          <w:highlight w:val="none"/>
          <w:lang w:eastAsia="zh-CN"/>
        </w:rPr>
      </w:pPr>
      <w:r>
        <w:rPr>
          <w:rFonts w:hint="eastAsia" w:ascii="楷体_GB2312" w:hAnsi="楷体_GB2312" w:eastAsia="楷体_GB2312" w:cs="楷体_GB2312"/>
          <w:b/>
          <w:bCs w:val="0"/>
          <w:color w:val="000000"/>
          <w:kern w:val="2"/>
          <w:sz w:val="32"/>
          <w:szCs w:val="32"/>
          <w:highlight w:val="none"/>
          <w:lang w:val="en-US" w:eastAsia="zh-CN" w:bidi="ar-SA"/>
        </w:rPr>
        <w:t>（五）经批准举借债务情况</w:t>
      </w:r>
    </w:p>
    <w:p>
      <w:pPr>
        <w:keepNext w:val="0"/>
        <w:keepLines w:val="0"/>
        <w:pageBreakBefore w:val="0"/>
        <w:widowControl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outlineLvl w:val="1"/>
        <w:rPr>
          <w:rFonts w:hint="eastAsia" w:ascii="仿宋_GB2312" w:hAnsi="仿宋_GB2312" w:eastAsia="仿宋_GB2312" w:cs="仿宋_GB2312"/>
          <w:b/>
          <w:bCs w:val="0"/>
          <w:color w:val="000000"/>
          <w:sz w:val="32"/>
          <w:szCs w:val="32"/>
          <w:highlight w:val="none"/>
          <w:lang w:eastAsia="zh-CN"/>
        </w:rPr>
      </w:pPr>
      <w:r>
        <w:rPr>
          <w:rFonts w:hint="eastAsia" w:ascii="仿宋_GB2312" w:hAnsi="仿宋_GB2312" w:eastAsia="仿宋_GB2312" w:cs="仿宋_GB2312"/>
          <w:b/>
          <w:bCs w:val="0"/>
          <w:color w:val="000000"/>
          <w:kern w:val="2"/>
          <w:sz w:val="32"/>
          <w:szCs w:val="32"/>
          <w:highlight w:val="none"/>
          <w:lang w:val="en-US" w:eastAsia="zh-CN" w:bidi="ar-SA"/>
        </w:rPr>
        <w:t>2024年，经批准全县政府债务限额为207.71亿元。当年共发行政府债券57.4亿元，具体包括：一是新增专项债券20.12亿元；二是再融资债券37.28亿元。年末政府债务余额157.25亿元，未突破政府债务限额，政府债务风险整体可控。</w:t>
      </w:r>
    </w:p>
    <w:p>
      <w:pPr>
        <w:keepNext w:val="0"/>
        <w:keepLines w:val="0"/>
        <w:pageBreakBefore w:val="0"/>
        <w:widowControl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outlineLvl w:val="1"/>
        <w:rPr>
          <w:rFonts w:hint="eastAsia" w:ascii="楷体_GB2312" w:hAnsi="楷体_GB2312" w:eastAsia="楷体_GB2312" w:cs="楷体_GB2312"/>
          <w:b/>
          <w:bCs w:val="0"/>
          <w:color w:val="000000"/>
          <w:sz w:val="32"/>
          <w:szCs w:val="32"/>
          <w:highlight w:val="none"/>
          <w:lang w:eastAsia="zh-CN"/>
        </w:rPr>
      </w:pPr>
      <w:r>
        <w:rPr>
          <w:rFonts w:hint="eastAsia" w:ascii="楷体_GB2312" w:hAnsi="楷体_GB2312" w:eastAsia="楷体_GB2312" w:cs="楷体_GB2312"/>
          <w:b/>
          <w:bCs w:val="0"/>
          <w:color w:val="000000"/>
          <w:kern w:val="2"/>
          <w:sz w:val="32"/>
          <w:szCs w:val="32"/>
          <w:highlight w:val="none"/>
          <w:lang w:val="en-US" w:eastAsia="zh-CN" w:bidi="ar-SA"/>
        </w:rPr>
        <w:t>（六）县十八届人大三次会议决议落实情况</w:t>
      </w:r>
    </w:p>
    <w:p>
      <w:pPr>
        <w:keepNext w:val="0"/>
        <w:keepLines w:val="0"/>
        <w:pageBreakBefore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yellow"/>
          <w:u w:val="none"/>
        </w:rPr>
      </w:pPr>
      <w:r>
        <w:rPr>
          <w:rFonts w:hint="eastAsia" w:ascii="仿宋_GB2312" w:hAnsi="仿宋_GB2312" w:eastAsia="仿宋_GB2312" w:cs="仿宋_GB2312"/>
          <w:b/>
          <w:bCs w:val="0"/>
          <w:color w:val="000000"/>
          <w:kern w:val="2"/>
          <w:sz w:val="32"/>
          <w:szCs w:val="32"/>
          <w:highlight w:val="none"/>
          <w:lang w:val="en-US" w:eastAsia="zh-CN" w:bidi="ar-SA"/>
        </w:rPr>
        <w:t>2024年，财政部门严格执行县十八届人大三次会议决议，认真落实积极财政政策，统筹财力做好促发展、保稳定、惠民生、防风险等工作，财政各项重点任务取得新进展新成效。</w:t>
      </w:r>
    </w:p>
    <w:p>
      <w:pPr>
        <w:keepNext w:val="0"/>
        <w:keepLines w:val="0"/>
        <w:pageBreakBefore w:val="0"/>
        <w:widowControl w:val="0"/>
        <w:kinsoku/>
        <w:wordWrap/>
        <w:overflowPunct/>
        <w:topLinePunct w:val="0"/>
        <w:autoSpaceDE/>
        <w:autoSpaceDN/>
        <w:bidi w:val="0"/>
        <w:adjustRightIn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yellow"/>
          <w:lang w:eastAsia="zh-CN"/>
        </w:rPr>
      </w:pPr>
      <w:r>
        <w:rPr>
          <w:rFonts w:hint="eastAsia" w:ascii="楷体_GB2312" w:hAnsi="楷体_GB2312" w:eastAsia="楷体_GB2312" w:cs="楷体_GB2312"/>
          <w:b/>
          <w:bCs w:val="0"/>
          <w:color w:val="000000"/>
          <w:kern w:val="2"/>
          <w:sz w:val="32"/>
          <w:szCs w:val="32"/>
          <w:highlight w:val="none"/>
          <w:lang w:val="en-US" w:eastAsia="zh-CN" w:bidi="ar-SA"/>
        </w:rPr>
        <w:t>——充分把握政策红利，全力支持经济发展。</w:t>
      </w:r>
      <w:r>
        <w:rPr>
          <w:rFonts w:hint="eastAsia" w:ascii="仿宋_GB2312" w:hAnsi="仿宋_GB2312" w:eastAsia="仿宋_GB2312" w:cs="仿宋_GB2312"/>
          <w:b/>
          <w:bCs w:val="0"/>
          <w:color w:val="000000"/>
          <w:kern w:val="2"/>
          <w:sz w:val="32"/>
          <w:szCs w:val="32"/>
          <w:highlight w:val="none"/>
          <w:lang w:val="en-US" w:eastAsia="zh-CN" w:bidi="ar-SA"/>
        </w:rPr>
        <w:t>准确把握宏观政策导向，加大与上级部门沟通对接力度，争取上级转移支付资金58.25亿元，其中一般性转移支付53.3亿元、专项转移支付4.94亿元。围绕全县重点项目建设，做好项目谋划储备，加大债券资金争取力度，争取政府债券资金57.4亿元，其中新增政府专项债券20.12亿元、再融资债券37.28亿元。坚持财政金融政策融合，充分发挥农业信贷担保“增信、分险、赋能”政策功能，累计为全县824户农业经营主体新增担保贷款7.96亿元，占全市新增担保贷款的29.7%，居全市第1位。持续优化政银企对接机制，引导金融机构加大对重点领域和薄弱环节支持力度，创新推出“医保贷”、“工业厂房贷”、“经营快贷”、“头雁贷”、“电商产业贷”、“济时雨微贷”等10余种金融产品，信贷投放量稳步增加，金融供给服务增量提质。2024年，全县金融机构实现各项贷款余额473.78亿元，比年初增加35.35亿元，同比增长8.06%；其中普惠金融重点领域贷款174.44亿元，较年初增加24.93亿元，同比增长16.67%。</w:t>
      </w:r>
    </w:p>
    <w:p>
      <w:pPr>
        <w:keepNext w:val="0"/>
        <w:keepLines w:val="0"/>
        <w:pageBreakBefore w:val="0"/>
        <w:widowControl w:val="0"/>
        <w:kinsoku/>
        <w:wordWrap/>
        <w:overflowPunct/>
        <w:topLinePunct w:val="0"/>
        <w:autoSpaceDE/>
        <w:autoSpaceDN/>
        <w:bidi w:val="0"/>
        <w:adjustRightInd/>
        <w:spacing w:beforeLines="-2147483648" w:afterLines="-2147483648" w:line="240" w:lineRule="auto"/>
        <w:ind w:firstLine="643" w:firstLineChars="200"/>
        <w:jc w:val="both"/>
        <w:textAlignment w:val="auto"/>
        <w:rPr>
          <w:rFonts w:hint="eastAsia" w:ascii="楷体_GB2312" w:hAnsi="楷体_GB2312" w:eastAsia="楷体_GB2312" w:cs="楷体_GB2312"/>
          <w:b/>
          <w:bCs w:val="0"/>
          <w:color w:val="000000"/>
          <w:sz w:val="32"/>
          <w:szCs w:val="32"/>
          <w:highlight w:val="none"/>
          <w:lang w:val="en-US" w:eastAsia="zh-CN"/>
        </w:rPr>
      </w:pPr>
      <w:r>
        <w:rPr>
          <w:rFonts w:hint="eastAsia" w:ascii="楷体_GB2312" w:hAnsi="楷体_GB2312" w:eastAsia="楷体_GB2312" w:cs="楷体_GB2312"/>
          <w:b/>
          <w:bCs w:val="0"/>
          <w:color w:val="000000"/>
          <w:kern w:val="2"/>
          <w:sz w:val="32"/>
          <w:szCs w:val="32"/>
          <w:highlight w:val="none"/>
          <w:lang w:val="en-US" w:eastAsia="zh-CN" w:bidi="ar-SA"/>
        </w:rPr>
        <w:t>——积极培植骨干财源，夯实组织收入基础。</w:t>
      </w:r>
      <w:r>
        <w:rPr>
          <w:rFonts w:hint="eastAsia" w:ascii="仿宋_GB2312" w:hAnsi="仿宋_GB2312" w:eastAsia="仿宋_GB2312" w:cs="仿宋_GB2312"/>
          <w:b/>
          <w:bCs/>
          <w:kern w:val="2"/>
          <w:sz w:val="32"/>
          <w:szCs w:val="32"/>
          <w:highlight w:val="none"/>
          <w:lang w:val="en-US" w:eastAsia="zh-CN" w:bidi="ar-SA"/>
        </w:rPr>
        <w:t>充分发挥</w:t>
      </w:r>
      <w:r>
        <w:rPr>
          <w:rFonts w:hint="eastAsia" w:ascii="仿宋_GB2312" w:hAnsi="仿宋_GB2312" w:eastAsia="仿宋_GB2312" w:cs="仿宋_GB2312"/>
          <w:b/>
          <w:bCs/>
          <w:color w:val="auto"/>
          <w:kern w:val="2"/>
          <w:sz w:val="32"/>
          <w:szCs w:val="32"/>
          <w:highlight w:val="none"/>
          <w:lang w:val="en-US" w:eastAsia="zh-CN" w:bidi="ar-SA"/>
        </w:rPr>
        <w:t>财税政策导向和财政资金撬动作用，积极服务重点行业、重点税源企业，推动现有骨干企业膨胀，</w:t>
      </w:r>
      <w:r>
        <w:rPr>
          <w:rFonts w:hint="eastAsia" w:ascii="仿宋_GB2312" w:hAnsi="仿宋_GB2312" w:eastAsia="仿宋_GB2312" w:cs="仿宋_GB2312"/>
          <w:b/>
          <w:bCs/>
          <w:kern w:val="2"/>
          <w:sz w:val="32"/>
          <w:szCs w:val="32"/>
          <w:highlight w:val="none"/>
          <w:lang w:val="en-US" w:eastAsia="zh-CN" w:bidi="ar-SA"/>
        </w:rPr>
        <w:t>努力培育支柱财源。2024年，</w:t>
      </w:r>
      <w:r>
        <w:rPr>
          <w:rFonts w:hint="eastAsia" w:ascii="仿宋_GB2312" w:hAnsi="仿宋_GB2312" w:eastAsia="仿宋_GB2312" w:cs="仿宋_GB2312"/>
          <w:b/>
          <w:bCs/>
          <w:color w:val="auto"/>
          <w:kern w:val="2"/>
          <w:sz w:val="32"/>
          <w:szCs w:val="32"/>
          <w:highlight w:val="none"/>
          <w:lang w:val="en-US" w:eastAsia="zh-CN" w:bidi="ar-SA"/>
        </w:rPr>
        <w:t>全县505家规上企业纳税12.7亿元，比2023年同期增收0.6亿元，同比增长4.9%。</w:t>
      </w:r>
      <w:r>
        <w:rPr>
          <w:rFonts w:hint="eastAsia" w:ascii="仿宋_GB2312" w:hAnsi="仿宋_GB2312" w:eastAsia="仿宋_GB2312" w:cs="仿宋_GB2312"/>
          <w:b/>
          <w:bCs/>
          <w:kern w:val="2"/>
          <w:sz w:val="32"/>
          <w:szCs w:val="32"/>
          <w:highlight w:val="none"/>
          <w:lang w:val="en-US" w:eastAsia="zh-CN" w:bidi="ar-SA"/>
        </w:rPr>
        <w:t>坚持依法组织收入，加强部门协调联动，加大重点行业、重点税源企业税收征管力度，积极拓展增收渠道，确保各项收入应收尽收。</w:t>
      </w:r>
      <w:r>
        <w:rPr>
          <w:rFonts w:hint="eastAsia" w:ascii="仿宋_GB2312" w:hAnsi="仿宋_GB2312" w:eastAsia="仿宋_GB2312" w:cs="仿宋_GB2312"/>
          <w:b/>
          <w:bCs w:val="0"/>
          <w:color w:val="000000"/>
          <w:kern w:val="2"/>
          <w:sz w:val="32"/>
          <w:szCs w:val="32"/>
          <w:highlight w:val="none"/>
          <w:lang w:val="en-US" w:eastAsia="zh-CN" w:bidi="ar-SA"/>
        </w:rPr>
        <w:t>2024年，全县一般公共预算收入完成28.8亿元，同比增长3.6%，增幅居全市各县区第4位。税收收入完成18.7亿元，同比下降2.6%，增幅居全市各县区第3位。税收比重65.2%，居全市各县区第2位。</w:t>
      </w:r>
    </w:p>
    <w:p>
      <w:pPr>
        <w:keepNext w:val="0"/>
        <w:keepLines w:val="0"/>
        <w:pageBreakBefore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yellow"/>
          <w:lang w:val="en-US" w:eastAsia="zh-CN"/>
        </w:rPr>
      </w:pPr>
      <w:r>
        <w:rPr>
          <w:rFonts w:hint="eastAsia" w:ascii="楷体_GB2312" w:hAnsi="楷体_GB2312" w:eastAsia="楷体_GB2312" w:cs="楷体_GB2312"/>
          <w:b/>
          <w:bCs w:val="0"/>
          <w:color w:val="000000"/>
          <w:kern w:val="2"/>
          <w:sz w:val="32"/>
          <w:szCs w:val="32"/>
          <w:highlight w:val="none"/>
          <w:lang w:val="en-US" w:eastAsia="zh-CN" w:bidi="ar-SA"/>
        </w:rPr>
        <w:t>——积极优化支出结构，强化保障重点民生。</w:t>
      </w:r>
      <w:r>
        <w:rPr>
          <w:rFonts w:hint="eastAsia" w:ascii="仿宋_GB2312" w:hAnsi="仿宋_GB2312" w:eastAsia="仿宋_GB2312" w:cs="仿宋_GB2312"/>
          <w:b/>
          <w:bCs w:val="0"/>
          <w:color w:val="auto"/>
          <w:kern w:val="2"/>
          <w:sz w:val="32"/>
          <w:szCs w:val="32"/>
          <w:highlight w:val="none"/>
          <w:lang w:val="en-US" w:eastAsia="zh-CN" w:bidi="ar-SA"/>
        </w:rPr>
        <w:t>坚持尽力而为、量力而行，兜住、兜准、兜牢民生底线</w:t>
      </w:r>
      <w:r>
        <w:rPr>
          <w:rFonts w:hint="eastAsia" w:ascii="仿宋_GB2312" w:hAnsi="仿宋_GB2312" w:eastAsia="仿宋_GB2312" w:cs="仿宋_GB2312"/>
          <w:b/>
          <w:bCs w:val="0"/>
          <w:kern w:val="2"/>
          <w:sz w:val="32"/>
          <w:szCs w:val="32"/>
          <w:highlight w:val="none"/>
          <w:lang w:val="en-US" w:eastAsia="zh-CN" w:bidi="ar-SA"/>
        </w:rPr>
        <w:t>。</w:t>
      </w:r>
      <w:r>
        <w:rPr>
          <w:rFonts w:hint="eastAsia" w:ascii="仿宋_GB2312" w:hAnsi="仿宋_GB2312" w:eastAsia="仿宋_GB2312" w:cs="仿宋_GB2312"/>
          <w:b/>
          <w:bCs w:val="0"/>
          <w:color w:val="000000"/>
          <w:kern w:val="2"/>
          <w:sz w:val="32"/>
          <w:szCs w:val="32"/>
          <w:highlight w:val="none"/>
          <w:lang w:val="en-US" w:eastAsia="zh-CN" w:bidi="ar-SA"/>
        </w:rPr>
        <w:t>不断提升困难群众救助保障水平，</w:t>
      </w:r>
      <w:r>
        <w:rPr>
          <w:rFonts w:hint="eastAsia" w:ascii="仿宋_GB2312" w:hAnsi="仿宋_GB2312" w:eastAsia="仿宋_GB2312" w:cs="仿宋_GB2312"/>
          <w:b/>
          <w:color w:val="000000"/>
          <w:kern w:val="2"/>
          <w:sz w:val="32"/>
          <w:szCs w:val="32"/>
          <w:highlight w:val="none"/>
          <w:lang w:val="en-US" w:eastAsia="zh-CN" w:bidi="ar-SA"/>
        </w:rPr>
        <w:t>城乡最低生活月保障标准分别由871元/人、691元/人提高到939元/人、761元/人，城乡特困救助供养基本生活费月保障标准分别由1133元/人、899元/人提高到1221元/人、990元/人。</w:t>
      </w:r>
      <w:r>
        <w:rPr>
          <w:rFonts w:hint="eastAsia" w:ascii="仿宋_GB2312" w:hAnsi="仿宋_GB2312" w:eastAsia="仿宋_GB2312" w:cs="仿宋_GB2312"/>
          <w:b/>
          <w:bCs w:val="0"/>
          <w:color w:val="000000"/>
          <w:kern w:val="2"/>
          <w:sz w:val="32"/>
          <w:szCs w:val="32"/>
          <w:highlight w:val="none"/>
          <w:lang w:val="en-US" w:eastAsia="zh-CN" w:bidi="ar-SA"/>
        </w:rPr>
        <w:t>坚决扛稳粮食安全责任，全年发放耕地地力保护补贴资金1.9亿元。2024年，全县教科文卫、社保、环保、农林水、住房保障等重点民生支出65.48亿元，占一般公共预算支出的83.1%，高于全省3.8个百分点。</w:t>
      </w:r>
    </w:p>
    <w:p>
      <w:pPr>
        <w:keepNext w:val="0"/>
        <w:keepLines w:val="0"/>
        <w:pageBreakBefore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rPr>
          <w:rFonts w:hint="default" w:ascii="仿宋_GB2312" w:hAnsi="仿宋_GB2312" w:eastAsia="仿宋_GB2312" w:cs="仿宋_GB2312"/>
          <w:b/>
          <w:bCs w:val="0"/>
          <w:color w:val="000000"/>
          <w:sz w:val="32"/>
          <w:szCs w:val="32"/>
          <w:highlight w:val="none"/>
          <w:lang w:val="en-US" w:eastAsia="zh-CN"/>
        </w:rPr>
      </w:pPr>
      <w:r>
        <w:rPr>
          <w:rFonts w:hint="eastAsia" w:ascii="楷体_GB2312" w:hAnsi="楷体_GB2312" w:eastAsia="楷体_GB2312" w:cs="楷体_GB2312"/>
          <w:b/>
          <w:bCs w:val="0"/>
          <w:color w:val="000000"/>
          <w:kern w:val="2"/>
          <w:sz w:val="32"/>
          <w:szCs w:val="32"/>
          <w:highlight w:val="none"/>
          <w:lang w:val="en-US" w:eastAsia="zh-CN" w:bidi="ar-SA"/>
        </w:rPr>
        <w:t>——坚持深化改革创新，不断提升管理效能。</w:t>
      </w:r>
      <w:r>
        <w:rPr>
          <w:rFonts w:hint="eastAsia" w:ascii="仿宋_GB2312" w:hAnsi="仿宋_GB2312" w:eastAsia="仿宋_GB2312" w:cs="仿宋_GB2312"/>
          <w:b/>
          <w:bCs w:val="0"/>
          <w:color w:val="000000"/>
          <w:kern w:val="2"/>
          <w:sz w:val="32"/>
          <w:szCs w:val="32"/>
          <w:highlight w:val="none"/>
          <w:lang w:val="en-US" w:eastAsia="zh-CN" w:bidi="ar-SA"/>
        </w:rPr>
        <w:t>全面推进预算绩效管理，将绩效理念和方法融入预算编制、执行、监督全过程，积极开展事前评估、绩效监控、财政重点绩效评价、全成本效益分析、全周期跟踪绩效评价等工作，努力提高财政管理科学化、标准化、规范化水平。认真落实“放管服”改革要求，充分发挥预算单位政府采购主体责任，积极推动营商环境优化提升，2024年累计发布政府采购项目197个，采购预算资金8.62亿元，节约资金1134万元，资金节约率1.32%。加强政府投资项目管理，规范政府投资行为，2024年累计完成215个工程预结算审查工作，送审金额20.6亿元，审减投资2.88亿元，审减率13.96%。进一步深化国企改革，印发了《曹县国有企业领导人员综合绩效考核暂行办法》《曹县国有企业领导人员薪酬管理暂行办法》等文件，</w:t>
      </w:r>
      <w:bookmarkStart w:id="0" w:name="_GoBack"/>
      <w:bookmarkEnd w:id="0"/>
      <w:r>
        <w:rPr>
          <w:rFonts w:hint="eastAsia" w:ascii="仿宋_GB2312" w:hAnsi="仿宋_GB2312" w:eastAsia="仿宋_GB2312" w:cs="仿宋_GB2312"/>
          <w:b/>
          <w:bCs w:val="0"/>
          <w:color w:val="000000"/>
          <w:kern w:val="2"/>
          <w:sz w:val="32"/>
          <w:szCs w:val="32"/>
          <w:highlight w:val="none"/>
          <w:lang w:val="en-US" w:eastAsia="zh-CN" w:bidi="ar-SA"/>
        </w:rPr>
        <w:t>为促进县属国有企业高质量发展提供了制度依据。</w:t>
      </w:r>
    </w:p>
    <w:p>
      <w:pPr>
        <w:keepNext w:val="0"/>
        <w:keepLines w:val="0"/>
        <w:pageBreakBefore w:val="0"/>
        <w:kinsoku/>
        <w:wordWrap/>
        <w:overflowPunct/>
        <w:topLinePunct w:val="0"/>
        <w:autoSpaceDE/>
        <w:autoSpaceDN/>
        <w:bidi w:val="0"/>
        <w:adjustRightInd/>
        <w:snapToGrid/>
        <w:spacing w:beforeLines="-2147483648" w:afterLines="-2147483648" w:line="240" w:lineRule="auto"/>
        <w:ind w:firstLine="643" w:firstLineChars="200"/>
        <w:jc w:val="both"/>
        <w:textAlignment w:val="auto"/>
        <w:rPr>
          <w:rFonts w:hint="eastAsia" w:ascii="仿宋_GB2312" w:hAnsi="仿宋_GB2312" w:eastAsia="仿宋_GB2312" w:cs="仿宋_GB2312"/>
          <w:b/>
          <w:bCs w:val="0"/>
          <w:color w:val="000000"/>
          <w:sz w:val="32"/>
          <w:szCs w:val="32"/>
          <w:highlight w:val="none"/>
          <w:lang w:val="en-US" w:eastAsia="zh-CN"/>
        </w:rPr>
      </w:pPr>
      <w:r>
        <w:rPr>
          <w:rFonts w:hint="eastAsia" w:ascii="楷体_GB2312" w:hAnsi="楷体_GB2312" w:eastAsia="楷体_GB2312" w:cs="楷体_GB2312"/>
          <w:b/>
          <w:bCs w:val="0"/>
          <w:color w:val="000000"/>
          <w:kern w:val="2"/>
          <w:sz w:val="32"/>
          <w:szCs w:val="32"/>
          <w:highlight w:val="none"/>
          <w:lang w:val="en-US" w:eastAsia="zh-CN" w:bidi="ar-SA"/>
        </w:rPr>
        <w:t>——牢固树立底线思维，切实防范化解风险。</w:t>
      </w:r>
      <w:r>
        <w:rPr>
          <w:rFonts w:hint="eastAsia" w:ascii="仿宋_GB2312" w:hAnsi="仿宋_GB2312" w:eastAsia="仿宋_GB2312" w:cs="仿宋_GB2312"/>
          <w:b/>
          <w:bCs w:val="0"/>
          <w:color w:val="000000"/>
          <w:kern w:val="2"/>
          <w:sz w:val="32"/>
          <w:szCs w:val="32"/>
          <w:highlight w:val="none"/>
          <w:lang w:val="en-US" w:eastAsia="zh-CN" w:bidi="ar-SA"/>
        </w:rPr>
        <w:t>坚持“三保”支出在预算安排和库款调度上的优先顺序，健全“三保”预算执行动态监控机制，确保“三保”预算执行到位。</w:t>
      </w:r>
      <w:r>
        <w:rPr>
          <w:rFonts w:hint="eastAsia" w:ascii="仿宋_GB2312" w:hAnsi="仿宋_GB2312" w:eastAsia="仿宋_GB2312" w:cs="仿宋_GB2312"/>
          <w:b/>
          <w:bCs w:val="0"/>
          <w:kern w:val="2"/>
          <w:sz w:val="32"/>
          <w:szCs w:val="32"/>
          <w:highlight w:val="none"/>
          <w:lang w:val="en-US" w:eastAsia="zh-CN" w:bidi="ar-SA"/>
        </w:rPr>
        <w:t>2024年，全县“三保”支出59.63亿元，占一般公共预算支出的75.66%，圆满完成“三保”工作任务。</w:t>
      </w:r>
      <w:r>
        <w:rPr>
          <w:rFonts w:hint="eastAsia" w:ascii="仿宋_GB2312" w:hAnsi="仿宋_GB2312" w:eastAsia="仿宋_GB2312" w:cs="仿宋_GB2312"/>
          <w:b/>
          <w:bCs w:val="0"/>
          <w:color w:val="000000"/>
          <w:kern w:val="2"/>
          <w:sz w:val="32"/>
          <w:szCs w:val="32"/>
          <w:highlight w:val="none"/>
          <w:lang w:val="en-US" w:eastAsia="zh-CN" w:bidi="ar-SA"/>
        </w:rPr>
        <w:t>充分把握隐债置换政策机遇，积极争取隐债置换额度</w:t>
      </w:r>
      <w:r>
        <w:rPr>
          <w:rFonts w:hint="eastAsia" w:ascii="仿宋_GB2312" w:hAnsi="仿宋_GB2312" w:eastAsia="仿宋_GB2312" w:cs="仿宋_GB2312"/>
          <w:b/>
          <w:bCs w:val="0"/>
          <w:color w:val="0C0C0C"/>
          <w:kern w:val="2"/>
          <w:sz w:val="32"/>
          <w:szCs w:val="32"/>
          <w:highlight w:val="none"/>
          <w:lang w:val="en-US" w:eastAsia="zh-CN" w:bidi="ar-SA"/>
        </w:rPr>
        <w:t>。</w:t>
      </w:r>
      <w:r>
        <w:rPr>
          <w:rFonts w:hint="eastAsia" w:ascii="仿宋_GB2312" w:hAnsi="仿宋_GB2312" w:eastAsia="仿宋_GB2312" w:cs="仿宋_GB2312"/>
          <w:b/>
          <w:bCs w:val="0"/>
          <w:color w:val="000000"/>
          <w:kern w:val="2"/>
          <w:sz w:val="32"/>
          <w:szCs w:val="32"/>
          <w:highlight w:val="none"/>
          <w:lang w:val="en-US" w:eastAsia="zh-CN" w:bidi="ar-SA"/>
        </w:rPr>
        <w:t>坚决贯彻落实既定化债工作方案，通过争取政府债券、对接金融机构、盘活闲置资产等方式全力筹集化债资金，稳妥有序化解存量债务，牢牢守住了不发生系统性债务风险底线。加强金融矛盾纠纷风险隐患排查，稳妥有序推进防范和处置非法集资工作，全县金融环境健康稳定运行。</w:t>
      </w: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ind w:left="0"/>
        <w:rPr>
          <w:rFonts w:hint="eastAsia"/>
          <w:sz w:val="20"/>
          <w:szCs w:val="24"/>
        </w:rPr>
      </w:pPr>
    </w:p>
    <w:p>
      <w:pPr>
        <w:pStyle w:val="3"/>
        <w:kinsoku w:val="0"/>
        <w:overflowPunct w:val="0"/>
        <w:spacing w:before="0" w:beforeLines="0" w:afterLines="0" w:line="429" w:lineRule="exact"/>
        <w:ind w:right="117"/>
        <w:rPr>
          <w:rFonts w:hint="eastAsia" w:ascii="黑体" w:hAnsi="黑体" w:eastAsia="黑体" w:cs="黑体"/>
          <w:sz w:val="32"/>
          <w:szCs w:val="24"/>
        </w:rPr>
      </w:pPr>
      <w:r>
        <w:rPr>
          <w:rFonts w:hint="eastAsia" w:ascii="黑体" w:hAnsi="黑体" w:eastAsia="黑体" w:cs="黑体"/>
          <w:sz w:val="32"/>
          <w:szCs w:val="24"/>
        </w:rPr>
        <w:t>附件</w:t>
      </w:r>
    </w:p>
    <w:p>
      <w:pPr>
        <w:pStyle w:val="3"/>
        <w:kinsoku w:val="0"/>
        <w:overflowPunct w:val="0"/>
        <w:spacing w:before="182" w:beforeLines="0" w:afterLines="0"/>
        <w:ind w:left="0" w:right="159"/>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名 词 解</w:t>
      </w:r>
      <w:r>
        <w:rPr>
          <w:rFonts w:hint="eastAsia" w:ascii="方正小标宋简体" w:hAnsi="方正小标宋简体" w:eastAsia="方正小标宋简体" w:cs="方正小标宋简体"/>
          <w:spacing w:val="-1"/>
          <w:sz w:val="36"/>
          <w:szCs w:val="36"/>
        </w:rPr>
        <w:t xml:space="preserve"> </w:t>
      </w:r>
      <w:r>
        <w:rPr>
          <w:rFonts w:hint="eastAsia" w:ascii="方正小标宋简体" w:hAnsi="方正小标宋简体" w:eastAsia="方正小标宋简体" w:cs="方正小标宋简体"/>
          <w:sz w:val="36"/>
          <w:szCs w:val="36"/>
        </w:rPr>
        <w:t>释</w:t>
      </w:r>
    </w:p>
    <w:p>
      <w:pPr>
        <w:pStyle w:val="3"/>
        <w:kinsoku w:val="0"/>
        <w:overflowPunct w:val="0"/>
        <w:spacing w:before="0" w:beforeLines="0" w:afterLines="0"/>
        <w:ind w:left="0"/>
        <w:rPr>
          <w:rFonts w:hint="eastAsia"/>
          <w:sz w:val="20"/>
          <w:szCs w:val="24"/>
        </w:rPr>
      </w:pPr>
    </w:p>
    <w:p>
      <w:pPr>
        <w:pStyle w:val="3"/>
        <w:kinsoku w:val="0"/>
        <w:overflowPunct w:val="0"/>
        <w:spacing w:before="4" w:beforeLines="0" w:afterLines="0"/>
        <w:ind w:left="0"/>
        <w:rPr>
          <w:rFonts w:hint="eastAsia"/>
          <w:sz w:val="23"/>
          <w:szCs w:val="24"/>
        </w:rPr>
      </w:pPr>
    </w:p>
    <w:p>
      <w:pPr>
        <w:autoSpaceDE/>
        <w:autoSpaceDN/>
        <w:spacing w:beforeLines="0" w:afterLines="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一般公共预算：</w:t>
      </w:r>
      <w:r>
        <w:rPr>
          <w:rFonts w:hint="eastAsia" w:ascii="仿宋_GB2312" w:hAnsi="仿宋_GB2312" w:eastAsia="仿宋_GB2312" w:cs="仿宋_GB2312"/>
          <w:sz w:val="32"/>
          <w:szCs w:val="32"/>
          <w:lang w:val="en-US" w:eastAsia="zh-CN"/>
        </w:rPr>
        <w:t>指一般公共预算收入和一般公共预算支出。一般公共预算收入包括地方本级收入、上级政府对本级政府的税 收返还和转移支付、下级政府的上解收入；一般公共预算支出包括地方本级支出、对上级政府的上解支出、对下级政府的税收返 还和转移支付。</w:t>
      </w:r>
    </w:p>
    <w:p>
      <w:pPr>
        <w:autoSpaceDE/>
        <w:autoSpaceDN/>
        <w:spacing w:beforeLines="0" w:afterLines="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非税收入：</w:t>
      </w:r>
      <w:r>
        <w:rPr>
          <w:rFonts w:hint="eastAsia" w:ascii="仿宋_GB2312" w:hAnsi="仿宋_GB2312" w:eastAsia="仿宋_GB2312" w:cs="仿宋_GB2312"/>
          <w:sz w:val="32"/>
          <w:szCs w:val="32"/>
          <w:lang w:val="en-US" w:eastAsia="zh-CN"/>
        </w:rPr>
        <w:t>指除税收以外，由各级政府、国家机关、事业单位、代行政府职能的社会团体及其他组织，依法利用政府权力、 政府信誉、国家资源、国有资产，或提供特定公共服务、准公共服务，取得并满足社会公共需要或准公共需要的财政资金，是政 府财政收入的组成部分，是政府参与国民收入分配和再分配的一种形式。</w:t>
      </w:r>
    </w:p>
    <w:p>
      <w:pPr>
        <w:autoSpaceDE/>
        <w:autoSpaceDN/>
        <w:spacing w:beforeLines="0" w:afterLines="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上解上级支出：</w:t>
      </w:r>
      <w:r>
        <w:rPr>
          <w:rFonts w:hint="eastAsia" w:ascii="仿宋_GB2312" w:hAnsi="仿宋_GB2312" w:eastAsia="仿宋_GB2312" w:cs="仿宋_GB2312"/>
          <w:sz w:val="32"/>
          <w:szCs w:val="32"/>
          <w:lang w:val="en-US" w:eastAsia="zh-CN"/>
        </w:rPr>
        <w:t xml:space="preserve">指下级财政根据体制应上解上级财政的支出。 </w:t>
      </w:r>
    </w:p>
    <w:p>
      <w:pPr>
        <w:autoSpaceDE/>
        <w:autoSpaceDN/>
        <w:spacing w:beforeLines="0" w:afterLines="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政府性基金：</w:t>
      </w:r>
      <w:r>
        <w:rPr>
          <w:rFonts w:hint="eastAsia" w:ascii="仿宋_GB2312" w:hAnsi="仿宋_GB2312" w:eastAsia="仿宋_GB2312" w:cs="仿宋_GB2312"/>
          <w:sz w:val="32"/>
          <w:szCs w:val="32"/>
          <w:lang w:val="en-US" w:eastAsia="zh-CN"/>
        </w:rPr>
        <w:t>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政府性基金收入是国家通过向社会征收以及出让土地、发行彩票等方式取得收入。</w:t>
      </w:r>
    </w:p>
    <w:p>
      <w:pPr>
        <w:autoSpaceDE/>
        <w:autoSpaceDN/>
        <w:spacing w:beforeLines="0" w:afterLines="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地方政府债券：</w:t>
      </w:r>
      <w:r>
        <w:rPr>
          <w:rFonts w:hint="eastAsia" w:ascii="仿宋_GB2312" w:hAnsi="仿宋_GB2312" w:eastAsia="仿宋_GB2312" w:cs="仿宋_GB2312"/>
          <w:sz w:val="32"/>
          <w:szCs w:val="32"/>
          <w:lang w:val="en-US" w:eastAsia="zh-CN"/>
        </w:rPr>
        <w:t>包括地方政府一般债券（简称一般债券）和地方政府专项债券（简称专项债券）。一般债券是由省、自治区、 直辖市政府（含经省级政府批准自办债券发行的计划单列市）为没有收益的公益性项目发行的、约定一定期限内主要以一般公共 预算收入还本付息的政府债券。专项债券是由省、自治区、直辖市政府（含经省级政府批准自办债券发行的计划单列市）为有一 定收益的公益性项目发行的、约定一定期限内主要以公益性项目对应的政府性基金或专项收入还本付息的政府债券。</w:t>
      </w:r>
    </w:p>
    <w:p>
      <w:pPr>
        <w:autoSpaceDE/>
        <w:autoSpaceDN/>
        <w:spacing w:beforeLines="0" w:afterLines="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预算管理一体化：</w:t>
      </w:r>
      <w:r>
        <w:rPr>
          <w:rFonts w:hint="eastAsia" w:ascii="仿宋_GB2312" w:hAnsi="仿宋_GB2312" w:eastAsia="仿宋_GB2312" w:cs="仿宋_GB2312"/>
          <w:sz w:val="32"/>
          <w:szCs w:val="32"/>
          <w:lang w:val="en-US" w:eastAsia="zh-CN"/>
        </w:rPr>
        <w:t>指以统一预算管理规则为核心，以预算管理一体化系统为主要载体，将统一的管理规则嵌入信息系统，提高项目储备、预算编审、预算调整和调剂、资金支付、会计核算、决算和报告等工作的标准化、自动化水平，实现对预算管理全 流程的动态反映和有效控制，保证各级预算管理规范高效。</w:t>
      </w:r>
    </w:p>
    <w:p>
      <w:pPr>
        <w:autoSpaceDE/>
        <w:autoSpaceDN/>
        <w:spacing w:beforeLines="0" w:afterLines="0" w:line="600" w:lineRule="exact"/>
        <w:ind w:firstLine="640" w:firstLineChars="200"/>
        <w:jc w:val="both"/>
      </w:pPr>
      <w:r>
        <w:rPr>
          <w:rFonts w:hint="eastAsia" w:ascii="黑体" w:hAnsi="黑体" w:eastAsia="黑体" w:cs="黑体"/>
          <w:sz w:val="32"/>
          <w:szCs w:val="32"/>
          <w:lang w:val="en-US" w:eastAsia="zh-CN"/>
        </w:rPr>
        <w:t>预算绩效管理：</w:t>
      </w:r>
      <w:r>
        <w:rPr>
          <w:rFonts w:hint="eastAsia" w:ascii="仿宋_GB2312" w:hAnsi="仿宋_GB2312" w:eastAsia="仿宋_GB2312" w:cs="仿宋_GB2312"/>
          <w:sz w:val="32"/>
          <w:szCs w:val="32"/>
          <w:lang w:val="en-US" w:eastAsia="zh-CN"/>
        </w:rPr>
        <w:t>指一个由绩效目标管理、绩效运行跟踪监控管理、绩效评价实施管理、绩效评价结果反馈和应用管理共同组成的综合系统。推进预算绩效管理，要将绩效理念融入预算管理全过程，使之与预算编制、预算执行、预算监督一起成为预算管 理的有机组成部分，逐步建立“预算编制有目标、预算执行有监控、预算完成有评价、评价结果有反馈、反馈结果有应用”的预算绩效管理机制。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before="0" w:beforeLines="0" w:afterLines="0" w:line="14" w:lineRule="auto"/>
      <w:ind w:left="0"/>
      <w:rPr>
        <w:rFonts w:hint="eastAsia"/>
        <w:sz w:val="20"/>
        <w:szCs w:val="24"/>
      </w:rPr>
    </w:pPr>
    <w:r>
      <w:rPr>
        <w:rFonts w:hint="default"/>
        <w:sz w:val="32"/>
        <w:szCs w:val="24"/>
      </w:rPr>
      <mc:AlternateContent>
        <mc:Choice Requires="wps">
          <w:drawing>
            <wp:anchor distT="0" distB="0" distL="114300" distR="114300" simplePos="0" relativeHeight="251661312" behindDoc="1" locked="0" layoutInCell="1" allowOverlap="1">
              <wp:simplePos x="0" y="0"/>
              <wp:positionH relativeFrom="page">
                <wp:posOffset>3463925</wp:posOffset>
              </wp:positionH>
              <wp:positionV relativeFrom="page">
                <wp:posOffset>9892030</wp:posOffset>
              </wp:positionV>
              <wp:extent cx="482600" cy="177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482600" cy="177800"/>
                      </a:xfrm>
                      <a:prstGeom prst="rect">
                        <a:avLst/>
                      </a:prstGeom>
                      <a:noFill/>
                      <a:ln>
                        <a:noFill/>
                      </a:ln>
                    </wps:spPr>
                    <wps:txbx>
                      <w:txbxContent>
                        <w:p>
                          <w:pPr>
                            <w:pStyle w:val="3"/>
                            <w:kinsoku w:val="0"/>
                            <w:overflowPunct w:val="0"/>
                            <w:spacing w:before="0" w:beforeLines="0" w:afterLines="0" w:line="260" w:lineRule="exact"/>
                            <w:ind w:left="20"/>
                            <w:rPr>
                              <w:rFonts w:hint="default" w:ascii="宋体" w:hAnsi="宋体" w:eastAsia="宋体"/>
                              <w:sz w:val="24"/>
                              <w:szCs w:val="24"/>
                            </w:rPr>
                          </w:pPr>
                          <w:r>
                            <w:rPr>
                              <w:rFonts w:hint="default" w:ascii="宋体" w:hAnsi="宋体" w:eastAsia="宋体"/>
                              <w:sz w:val="24"/>
                              <w:szCs w:val="24"/>
                            </w:rPr>
                            <w:t xml:space="preserve">- </w:t>
                          </w:r>
                          <w:r>
                            <w:rPr>
                              <w:rFonts w:hint="default" w:ascii="宋体" w:hAnsi="宋体" w:eastAsia="宋体"/>
                              <w:sz w:val="24"/>
                              <w:szCs w:val="24"/>
                            </w:rPr>
                            <w:fldChar w:fldCharType="begin"/>
                          </w:r>
                          <w:r>
                            <w:rPr>
                              <w:rFonts w:hint="default" w:ascii="宋体" w:hAnsi="宋体" w:eastAsia="宋体"/>
                              <w:sz w:val="24"/>
                              <w:szCs w:val="24"/>
                            </w:rPr>
                            <w:instrText xml:space="preserve"> PAGE </w:instrText>
                          </w:r>
                          <w:r>
                            <w:rPr>
                              <w:rFonts w:hint="default" w:ascii="宋体" w:hAnsi="宋体" w:eastAsia="宋体"/>
                              <w:sz w:val="24"/>
                              <w:szCs w:val="24"/>
                            </w:rPr>
                            <w:fldChar w:fldCharType="separate"/>
                          </w:r>
                          <w:r>
                            <w:rPr>
                              <w:rFonts w:hint="default" w:ascii="宋体" w:hAnsi="宋体" w:eastAsia="宋体"/>
                              <w:sz w:val="24"/>
                              <w:szCs w:val="24"/>
                            </w:rPr>
                            <w:fldChar w:fldCharType="end"/>
                          </w:r>
                          <w:r>
                            <w:rPr>
                              <w:rFonts w:hint="default" w:ascii="宋体" w:hAnsi="宋体" w:eastAsia="宋体"/>
                              <w:sz w:val="24"/>
                              <w:szCs w:val="24"/>
                            </w:rPr>
                            <w:t xml:space="preserve"> -</w:t>
                          </w:r>
                        </w:p>
                      </w:txbxContent>
                    </wps:txbx>
                    <wps:bodyPr vert="horz" wrap="square" lIns="0" tIns="0" rIns="0" bIns="0" upright="1"/>
                  </wps:wsp>
                </a:graphicData>
              </a:graphic>
            </wp:anchor>
          </w:drawing>
        </mc:Choice>
        <mc:Fallback>
          <w:pict>
            <v:shape id="文本框 4" o:spid="_x0000_s1026" o:spt="202" type="#_x0000_t202" style="position:absolute;left:0pt;margin-left:272.75pt;margin-top:778.9pt;height:14pt;width:38pt;mso-position-horizontal-relative:page;mso-position-vertical-relative:page;z-index:-251655168;mso-width-relative:page;mso-height-relative:page;" filled="f" stroked="f" coordsize="21600,21600" o:gfxdata="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C0A22gAAAA0BAAAPAAAAAAAAAAEAIAAAACIAAABkcnMvZG93bnJldi54bWxQSwECFAAUAAAACACH&#10;TuJAlG25CLABAAA9AwAADgAAAAAAAAABACAAAAApAQAAZHJzL2Uyb0RvYy54bWxQSwUGAAAAAAYA&#10;BgBZAQAASwUAAAAA&#10;">
              <v:fill on="f" focussize="0,0"/>
              <v:stroke on="f"/>
              <v:imagedata o:title=""/>
              <o:lock v:ext="edit" aspectratio="f"/>
              <v:textbox inset="0mm,0mm,0mm,0mm">
                <w:txbxContent>
                  <w:p>
                    <w:pPr>
                      <w:pStyle w:val="3"/>
                      <w:kinsoku w:val="0"/>
                      <w:overflowPunct w:val="0"/>
                      <w:spacing w:before="0" w:beforeLines="0" w:afterLines="0" w:line="260" w:lineRule="exact"/>
                      <w:ind w:left="20"/>
                      <w:rPr>
                        <w:rFonts w:hint="default" w:ascii="宋体" w:hAnsi="宋体" w:eastAsia="宋体"/>
                        <w:sz w:val="24"/>
                        <w:szCs w:val="24"/>
                      </w:rPr>
                    </w:pPr>
                    <w:r>
                      <w:rPr>
                        <w:rFonts w:hint="default" w:ascii="宋体" w:hAnsi="宋体" w:eastAsia="宋体"/>
                        <w:sz w:val="24"/>
                        <w:szCs w:val="24"/>
                      </w:rPr>
                      <w:t xml:space="preserve">- </w:t>
                    </w:r>
                    <w:r>
                      <w:rPr>
                        <w:rFonts w:hint="default" w:ascii="宋体" w:hAnsi="宋体" w:eastAsia="宋体"/>
                        <w:sz w:val="24"/>
                        <w:szCs w:val="24"/>
                      </w:rPr>
                      <w:fldChar w:fldCharType="begin"/>
                    </w:r>
                    <w:r>
                      <w:rPr>
                        <w:rFonts w:hint="default" w:ascii="宋体" w:hAnsi="宋体" w:eastAsia="宋体"/>
                        <w:sz w:val="24"/>
                        <w:szCs w:val="24"/>
                      </w:rPr>
                      <w:instrText xml:space="preserve"> PAGE </w:instrText>
                    </w:r>
                    <w:r>
                      <w:rPr>
                        <w:rFonts w:hint="default" w:ascii="宋体" w:hAnsi="宋体" w:eastAsia="宋体"/>
                        <w:sz w:val="24"/>
                        <w:szCs w:val="24"/>
                      </w:rPr>
                      <w:fldChar w:fldCharType="separate"/>
                    </w:r>
                    <w:r>
                      <w:rPr>
                        <w:rFonts w:hint="default" w:ascii="宋体" w:hAnsi="宋体" w:eastAsia="宋体"/>
                        <w:sz w:val="24"/>
                        <w:szCs w:val="24"/>
                      </w:rPr>
                      <w:fldChar w:fldCharType="end"/>
                    </w:r>
                    <w:r>
                      <w:rPr>
                        <w:rFonts w:hint="default" w:ascii="宋体" w:hAnsi="宋体" w:eastAsia="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before="0" w:beforeLines="0" w:afterLines="0" w:line="14" w:lineRule="auto"/>
      <w:ind w:left="0"/>
      <w:rPr>
        <w:rFonts w:hint="eastAsia"/>
        <w:sz w:val="24"/>
        <w:szCs w:val="24"/>
        <w:lang w:val="en-US" w:eastAsia="zh-CN"/>
      </w:rPr>
    </w:pPr>
    <w:r>
      <w:rPr>
        <w:rFonts w:hint="default"/>
        <w:sz w:val="24"/>
        <w:szCs w:val="24"/>
        <w:lang w:val="en-US"/>
      </w:rP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558800</wp:posOffset>
              </wp:positionV>
              <wp:extent cx="3136265" cy="227965"/>
              <wp:effectExtent l="0" t="0" r="0" b="0"/>
              <wp:wrapNone/>
              <wp:docPr id="5" name="文本框 1"/>
              <wp:cNvGraphicFramePr/>
              <a:graphic xmlns:a="http://schemas.openxmlformats.org/drawingml/2006/main">
                <a:graphicData uri="http://schemas.microsoft.com/office/word/2010/wordprocessingShape">
                  <wps:wsp>
                    <wps:cNvSpPr txBox="1"/>
                    <wps:spPr>
                      <a:xfrm>
                        <a:off x="0" y="0"/>
                        <a:ext cx="3136265" cy="227965"/>
                      </a:xfrm>
                      <a:prstGeom prst="rect">
                        <a:avLst/>
                      </a:prstGeom>
                      <a:noFill/>
                      <a:ln>
                        <a:noFill/>
                      </a:ln>
                    </wps:spPr>
                    <wps:txbx>
                      <w:txbxContent>
                        <w:p>
                          <w:pPr>
                            <w:pStyle w:val="3"/>
                            <w:kinsoku w:val="0"/>
                            <w:overflowPunct w:val="0"/>
                            <w:spacing w:before="0" w:beforeLines="0" w:afterLines="0" w:line="339" w:lineRule="exact"/>
                            <w:ind w:left="20"/>
                            <w:rPr>
                              <w:rFonts w:hint="eastAsia" w:ascii="楷体_GB2312" w:hAnsi="楷体_GB2312" w:eastAsia="楷体_GB2312"/>
                              <w:sz w:val="32"/>
                              <w:szCs w:val="24"/>
                            </w:rPr>
                          </w:pPr>
                        </w:p>
                      </w:txbxContent>
                    </wps:txbx>
                    <wps:bodyPr vert="horz" wrap="square" lIns="0" tIns="0" rIns="0" bIns="0" upright="1"/>
                  </wps:wsp>
                </a:graphicData>
              </a:graphic>
            </wp:anchor>
          </w:drawing>
        </mc:Choice>
        <mc:Fallback>
          <w:pict>
            <v:shape id="文本框 1" o:spid="_x0000_s1026" o:spt="202" type="#_x0000_t202" style="position:absolute;left:0pt;margin-left:69.9pt;margin-top:44pt;height:17.95pt;width:246.95pt;mso-position-horizontal-relative:page;mso-position-vertical-relative:page;z-index:-251657216;mso-width-relative:page;mso-height-relative:page;" filled="f" stroked="f" coordsize="21600,21600" o:gfxdata="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Mvy+X&#10;1wAAAAoBAAAPAAAAAAAAAAEAIAAAACIAAABkcnMvZG93bnJldi54bWxQSwECFAAUAAAACACHTuJA&#10;PJkDe7ABAAA+AwAADgAAAAAAAAABACAAAAAmAQAAZHJzL2Uyb0RvYy54bWxQSwUGAAAAAAYABgBZ&#10;AQAASAUAAAAA&#10;">
              <v:fill on="f" focussize="0,0"/>
              <v:stroke on="f"/>
              <v:imagedata o:title=""/>
              <o:lock v:ext="edit" aspectratio="f"/>
              <v:textbox inset="0mm,0mm,0mm,0mm">
                <w:txbxContent>
                  <w:p>
                    <w:pPr>
                      <w:pStyle w:val="3"/>
                      <w:kinsoku w:val="0"/>
                      <w:overflowPunct w:val="0"/>
                      <w:spacing w:before="0" w:beforeLines="0" w:afterLines="0" w:line="339" w:lineRule="exact"/>
                      <w:ind w:left="20"/>
                      <w:rPr>
                        <w:rFonts w:hint="eastAsia" w:ascii="楷体_GB2312" w:hAnsi="楷体_GB2312" w:eastAsia="楷体_GB2312"/>
                        <w:sz w:val="32"/>
                        <w:szCs w:val="24"/>
                      </w:rPr>
                    </w:pPr>
                  </w:p>
                </w:txbxContent>
              </v:textbox>
            </v:shape>
          </w:pict>
        </mc:Fallback>
      </mc:AlternateContent>
    </w:r>
    <w:r>
      <w:rPr>
        <w:rFonts w:hint="default"/>
        <w:sz w:val="24"/>
        <w:szCs w:val="24"/>
        <w:lang w:val="en-US"/>
      </w:rPr>
      <mc:AlternateContent>
        <mc:Choice Requires="wps">
          <w:drawing>
            <wp:anchor distT="0" distB="0" distL="114300" distR="114300" simplePos="0" relativeHeight="251660288" behindDoc="1" locked="0" layoutInCell="1" allowOverlap="1">
              <wp:simplePos x="0" y="0"/>
              <wp:positionH relativeFrom="page">
                <wp:posOffset>11112500</wp:posOffset>
              </wp:positionH>
              <wp:positionV relativeFrom="page">
                <wp:posOffset>558800</wp:posOffset>
              </wp:positionV>
              <wp:extent cx="1043305" cy="227965"/>
              <wp:effectExtent l="0" t="0" r="0" b="0"/>
              <wp:wrapNone/>
              <wp:docPr id="6" name="文本框 2"/>
              <wp:cNvGraphicFramePr/>
              <a:graphic xmlns:a="http://schemas.openxmlformats.org/drawingml/2006/main">
                <a:graphicData uri="http://schemas.microsoft.com/office/word/2010/wordprocessingShape">
                  <wps:wsp>
                    <wps:cNvSpPr txBox="1"/>
                    <wps:spPr>
                      <a:xfrm>
                        <a:off x="0" y="0"/>
                        <a:ext cx="1043305" cy="227965"/>
                      </a:xfrm>
                      <a:prstGeom prst="rect">
                        <a:avLst/>
                      </a:prstGeom>
                      <a:noFill/>
                      <a:ln>
                        <a:noFill/>
                      </a:ln>
                    </wps:spPr>
                    <wps:txbx>
                      <w:txbxContent>
                        <w:p>
                          <w:pPr>
                            <w:pStyle w:val="3"/>
                            <w:kinsoku w:val="0"/>
                            <w:overflowPunct w:val="0"/>
                            <w:spacing w:before="0" w:beforeLines="0" w:afterLines="0" w:line="339" w:lineRule="exact"/>
                            <w:ind w:left="20"/>
                            <w:rPr>
                              <w:rFonts w:hint="eastAsia" w:ascii="楷体_GB2312" w:hAnsi="楷体_GB2312" w:eastAsia="楷体_GB2312"/>
                              <w:sz w:val="32"/>
                              <w:szCs w:val="24"/>
                            </w:rPr>
                          </w:pPr>
                          <w:r>
                            <w:rPr>
                              <w:rFonts w:hint="eastAsia" w:ascii="楷体_GB2312" w:hAnsi="楷体_GB2312" w:eastAsia="楷体_GB2312"/>
                              <w:b/>
                              <w:spacing w:val="2"/>
                              <w:w w:val="99"/>
                              <w:sz w:val="32"/>
                              <w:szCs w:val="24"/>
                            </w:rPr>
                            <w:t>曹县财</w:t>
                          </w:r>
                          <w:r>
                            <w:rPr>
                              <w:rFonts w:hint="eastAsia" w:ascii="楷体_GB2312" w:hAnsi="楷体_GB2312" w:eastAsia="楷体_GB2312"/>
                              <w:b/>
                              <w:w w:val="99"/>
                              <w:sz w:val="32"/>
                              <w:szCs w:val="24"/>
                            </w:rPr>
                            <w:t>政局</w:t>
                          </w:r>
                        </w:p>
                      </w:txbxContent>
                    </wps:txbx>
                    <wps:bodyPr vert="horz" wrap="square" lIns="0" tIns="0" rIns="0" bIns="0" upright="1"/>
                  </wps:wsp>
                </a:graphicData>
              </a:graphic>
            </wp:anchor>
          </w:drawing>
        </mc:Choice>
        <mc:Fallback>
          <w:pict>
            <v:shape id="文本框 2" o:spid="_x0000_s1026" o:spt="202" type="#_x0000_t202" style="position:absolute;left:0pt;margin-left:875pt;margin-top:44pt;height:17.95pt;width:82.15pt;mso-position-horizontal-relative:page;mso-position-vertical-relative:page;z-index:-251656192;mso-width-relative:page;mso-height-relative:page;" filled="f" stroked="f" coordsize="21600,21600" o:gfxdata="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P3KH9oAAAAMAQAADwAAAAAAAAABACAAAAAiAAAAZHJzL2Rvd25yZXYueG1sUEsBAhQAFAAAAAgA&#10;h07iQBUIvumxAQAAPgMAAA4AAAAAAAAAAQAgAAAAKQEAAGRycy9lMm9Eb2MueG1sUEsFBgAAAAAG&#10;AAYAWQEAAEwFAAAAAA==&#10;">
              <v:fill on="f" focussize="0,0"/>
              <v:stroke on="f"/>
              <v:imagedata o:title=""/>
              <o:lock v:ext="edit" aspectratio="f"/>
              <v:textbox inset="0mm,0mm,0mm,0mm">
                <w:txbxContent>
                  <w:p>
                    <w:pPr>
                      <w:pStyle w:val="3"/>
                      <w:kinsoku w:val="0"/>
                      <w:overflowPunct w:val="0"/>
                      <w:spacing w:before="0" w:beforeLines="0" w:afterLines="0" w:line="339" w:lineRule="exact"/>
                      <w:ind w:left="20"/>
                      <w:rPr>
                        <w:rFonts w:hint="eastAsia" w:ascii="楷体_GB2312" w:hAnsi="楷体_GB2312" w:eastAsia="楷体_GB2312"/>
                        <w:sz w:val="32"/>
                        <w:szCs w:val="24"/>
                      </w:rPr>
                    </w:pPr>
                    <w:r>
                      <w:rPr>
                        <w:rFonts w:hint="eastAsia" w:ascii="楷体_GB2312" w:hAnsi="楷体_GB2312" w:eastAsia="楷体_GB2312"/>
                        <w:b/>
                        <w:spacing w:val="2"/>
                        <w:w w:val="99"/>
                        <w:sz w:val="32"/>
                        <w:szCs w:val="24"/>
                      </w:rPr>
                      <w:t>曹县财</w:t>
                    </w:r>
                    <w:r>
                      <w:rPr>
                        <w:rFonts w:hint="eastAsia" w:ascii="楷体_GB2312" w:hAnsi="楷体_GB2312" w:eastAsia="楷体_GB2312"/>
                        <w:b/>
                        <w:w w:val="99"/>
                        <w:sz w:val="32"/>
                        <w:szCs w:val="24"/>
                      </w:rPr>
                      <w:t>政局</w:t>
                    </w:r>
                  </w:p>
                </w:txbxContent>
              </v:textbox>
            </v:shape>
          </w:pict>
        </mc:Fallback>
      </mc:AlternateContent>
    </w:r>
    <w:r>
      <w:rPr>
        <w:rFonts w:hint="eastAsia"/>
        <w:sz w:val="24"/>
        <w:szCs w:val="24"/>
        <w:lang w:val="en-US" w:eastAsia="zh-CN"/>
      </w:rPr>
      <w:t>.</w:t>
    </w:r>
  </w:p>
  <w:p>
    <w:pPr>
      <w:pStyle w:val="3"/>
      <w:kinsoku w:val="0"/>
      <w:overflowPunct w:val="0"/>
      <w:spacing w:before="0" w:beforeLines="0" w:afterLines="0" w:line="14" w:lineRule="auto"/>
      <w:ind w:left="0"/>
      <w:rPr>
        <w:rFonts w:hint="eastAsia"/>
        <w:sz w:val="24"/>
        <w:szCs w:val="24"/>
        <w:lang w:val="en-US" w:eastAsia="zh-CN"/>
      </w:rPr>
    </w:pPr>
  </w:p>
  <w:p>
    <w:pPr>
      <w:pStyle w:val="3"/>
      <w:kinsoku w:val="0"/>
      <w:overflowPunct w:val="0"/>
      <w:spacing w:before="0" w:beforeLines="0" w:afterLines="0" w:line="14" w:lineRule="auto"/>
      <w:ind w:left="0"/>
      <w:rPr>
        <w:rFonts w:hint="eastAsia"/>
        <w:sz w:val="24"/>
        <w:szCs w:val="24"/>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YzYxOTU3ZWY4ZWY3MGM4MjgyZTFmNTQ5YTA3NzEifQ=="/>
  </w:docVars>
  <w:rsids>
    <w:rsidRoot w:val="047531B1"/>
    <w:rsid w:val="047531B1"/>
    <w:rsid w:val="317D7594"/>
    <w:rsid w:val="3E19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5">
    <w:name w:val="heading 1"/>
    <w:basedOn w:val="1"/>
    <w:next w:val="1"/>
    <w:unhideWhenUsed/>
    <w:qFormat/>
    <w:uiPriority w:val="1"/>
    <w:pPr>
      <w:spacing w:before="16" w:beforeLines="0" w:afterLines="0"/>
      <w:ind w:left="756"/>
      <w:outlineLvl w:val="0"/>
    </w:pPr>
    <w:rPr>
      <w:rFonts w:hint="eastAsia" w:ascii="黑体" w:hAnsi="黑体" w:eastAsia="黑体"/>
      <w:b/>
      <w:sz w:val="36"/>
      <w:szCs w:val="24"/>
    </w:rPr>
  </w:style>
  <w:style w:type="paragraph" w:styleId="6">
    <w:name w:val="heading 2"/>
    <w:basedOn w:val="1"/>
    <w:next w:val="1"/>
    <w:unhideWhenUsed/>
    <w:qFormat/>
    <w:uiPriority w:val="1"/>
    <w:pPr>
      <w:spacing w:beforeLines="0" w:afterLines="0"/>
      <w:ind w:left="756"/>
      <w:outlineLvl w:val="1"/>
    </w:pPr>
    <w:rPr>
      <w:rFonts w:hint="eastAsia" w:ascii="仿宋_GB2312" w:hAnsi="仿宋_GB2312" w:eastAsia="仿宋_GB2312"/>
      <w:b/>
      <w:sz w:val="32"/>
      <w:szCs w:val="24"/>
    </w:rPr>
  </w:style>
  <w:style w:type="paragraph" w:styleId="7">
    <w:name w:val="heading 3"/>
    <w:basedOn w:val="1"/>
    <w:next w:val="1"/>
    <w:unhideWhenUsed/>
    <w:qFormat/>
    <w:uiPriority w:val="0"/>
    <w:pPr>
      <w:widowControl/>
      <w:spacing w:beforeLines="0" w:afterLines="0"/>
      <w:outlineLvl w:val="2"/>
    </w:pPr>
    <w:rPr>
      <w:rFonts w:hint="default" w:ascii="宋体" w:hAnsi="宋体" w:eastAsia="宋体" w:cs="宋体"/>
      <w:b/>
      <w:sz w:val="27"/>
      <w:szCs w:val="27"/>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1"/>
    <w:basedOn w:val="3"/>
    <w:next w:val="4"/>
    <w:qFormat/>
    <w:uiPriority w:val="0"/>
  </w:style>
  <w:style w:type="paragraph" w:styleId="3">
    <w:name w:val="Body Text"/>
    <w:basedOn w:val="1"/>
    <w:next w:val="1"/>
    <w:unhideWhenUsed/>
    <w:qFormat/>
    <w:uiPriority w:val="1"/>
    <w:pPr>
      <w:spacing w:before="205" w:beforeLines="0" w:afterLines="0"/>
      <w:ind w:left="118"/>
    </w:pPr>
    <w:rPr>
      <w:rFonts w:hint="eastAsia" w:ascii="仿宋_GB2312" w:hAnsi="仿宋_GB2312" w:eastAsia="仿宋_GB2312"/>
      <w:sz w:val="32"/>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31639;&#25191;&#34892;&#20998;&#26512;\&#26032;&#24314;&#25991;&#20214;&#22841;\&#34920;&#26684;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9044;&#31639;&#25191;&#34892;&#20998;&#26512;\&#26032;&#24314;&#25991;&#20214;&#22841;\&#34920;&#26684;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31639;&#25191;&#34892;&#20998;&#26512;\&#26032;&#24314;&#25991;&#20214;&#22841;\&#34920;&#26684;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31639;&#25191;&#34892;&#20998;&#26512;\&#26032;&#24314;&#25991;&#20214;&#22841;\&#34920;&#26684;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31639;&#25191;&#34892;&#20998;&#26512;\&#26032;&#24314;&#25991;&#20214;&#22841;\&#34920;&#26684;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31639;&#25191;&#34892;&#20998;&#26512;\&#26032;&#24314;&#25991;&#20214;&#22841;\&#34920;&#26684;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00" b="1" i="0" u="none" strike="noStrike" kern="1200" baseline="0">
                <a:solidFill>
                  <a:srgbClr val="000000">
                    <a:alpha val="100000"/>
                  </a:srgbClr>
                </a:solidFill>
                <a:latin typeface="等线" panose="02010600030101010101" charset="-122"/>
                <a:ea typeface="等线" panose="02010600030101010101" charset="-122"/>
                <a:cs typeface="等线" panose="02010600030101010101" charset="-122"/>
              </a:defRPr>
            </a:pPr>
            <a:r>
              <a:rPr lang="zh-CN" sz="1500" baseline="0"/>
              <a:t>一般公共预算收入分月增幅图</a:t>
            </a:r>
            <a:endParaRPr lang="zh-CN" sz="1500" b="1" i="0" u="none" strike="noStrike" baseline="0">
              <a:solidFill>
                <a:srgbClr val="000000">
                  <a:alpha val="100000"/>
                </a:srgbClr>
              </a:solidFill>
              <a:latin typeface="等线" panose="02010600030101010101" charset="-122"/>
              <a:ea typeface="等线" panose="02010600030101010101" charset="-122"/>
              <a:cs typeface="等线" panose="02010600030101010101" charset="-122"/>
            </a:endParaRPr>
          </a:p>
        </c:rich>
      </c:tx>
      <c:layout>
        <c:manualLayout>
          <c:xMode val="edge"/>
          <c:yMode val="edge"/>
          <c:x val="0.321569509693641"/>
          <c:y val="0.0018339786734579"/>
        </c:manualLayout>
      </c:layout>
      <c:overlay val="0"/>
    </c:title>
    <c:autoTitleDeleted val="0"/>
    <c:plotArea>
      <c:layout>
        <c:manualLayout>
          <c:layoutTarget val="inner"/>
          <c:xMode val="edge"/>
          <c:yMode val="edge"/>
          <c:x val="0.0890759104661706"/>
          <c:y val="0.35690470397138"/>
          <c:w val="0.887397749549775"/>
          <c:h val="0.558926234521218"/>
        </c:manualLayout>
      </c:layout>
      <c:lineChart>
        <c:grouping val="standard"/>
        <c:varyColors val="0"/>
        <c:ser>
          <c:idx val="0"/>
          <c:order val="0"/>
          <c:tx>
            <c:strRef>
              <c:f>[表格1.xls]地方收入!$B$5</c:f>
              <c:strCache>
                <c:ptCount val="1"/>
                <c:pt idx="0">
                  <c:v>2024年</c:v>
                </c:pt>
              </c:strCache>
            </c:strRef>
          </c:tx>
          <c:dLbls>
            <c:dLbl>
              <c:idx val="0"/>
              <c:layout>
                <c:manualLayout>
                  <c:x val="-0.00168067226890756"/>
                  <c:y val="0.10231023102310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3781512605042"/>
                  <c:y val="0.05280528052805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[表格1.xls]地方收入!$C$4:$N$4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[表格1.xls]地方收入!$C$5:$N$5</c:f>
              <c:numCache>
                <c:formatCode>0.0_ </c:formatCode>
                <c:ptCount val="12"/>
                <c:pt idx="0">
                  <c:v>1.2</c:v>
                </c:pt>
                <c:pt idx="1">
                  <c:v>1.6</c:v>
                </c:pt>
                <c:pt idx="2">
                  <c:v>3.1</c:v>
                </c:pt>
                <c:pt idx="3">
                  <c:v>7.7</c:v>
                </c:pt>
                <c:pt idx="4">
                  <c:v>6.7</c:v>
                </c:pt>
                <c:pt idx="5">
                  <c:v>5.6</c:v>
                </c:pt>
                <c:pt idx="6">
                  <c:v>6.7</c:v>
                </c:pt>
                <c:pt idx="7">
                  <c:v>5.1</c:v>
                </c:pt>
                <c:pt idx="8">
                  <c:v>4.3</c:v>
                </c:pt>
                <c:pt idx="9">
                  <c:v>6.8</c:v>
                </c:pt>
                <c:pt idx="10">
                  <c:v>4</c:v>
                </c:pt>
                <c:pt idx="11">
                  <c:v>3.6</c:v>
                </c:pt>
              </c:numCache>
            </c:numRef>
          </c:val>
          <c:smooth val="0"/>
        </c:ser>
        <c:ser>
          <c:idx val="1"/>
          <c:order val="1"/>
          <c:tx>
            <c:strRef>
              <c:f>[表格1.xls]地方收入!$B$6</c:f>
              <c:strCache>
                <c:ptCount val="1"/>
                <c:pt idx="0">
                  <c:v>2023年</c:v>
                </c:pt>
              </c:strCache>
            </c:strRef>
          </c:tx>
          <c:dLbls>
            <c:dLbl>
              <c:idx val="0"/>
              <c:layout>
                <c:manualLayout>
                  <c:x val="-0.00840336134453781"/>
                  <c:y val="0.10561056105610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04201680672269"/>
                  <c:y val="0.00330033003300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4453781512605"/>
                  <c:y val="0.13531353135313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840336134453781"/>
                  <c:y val="0.12871287128712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672268907563025"/>
                  <c:y val="0.12541254125412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336134453781513"/>
                  <c:y val="0.1122112211221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0840336134454"/>
                  <c:y val="0.11551155115511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00840336134454"/>
                  <c:y val="0.14851485148514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672268907563025"/>
                  <c:y val="0.15181518151815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36134453781513"/>
                  <c:y val="0.12541254125412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168067226890756"/>
                  <c:y val="0.11881188118811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
                  <c:y val="0.16831683168316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[表格1.xls]地方收入!$C$4:$N$4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[表格1.xls]地方收入!$C$6:$N$6</c:f>
              <c:numCache>
                <c:formatCode>0.0_ </c:formatCode>
                <c:ptCount val="12"/>
                <c:pt idx="0">
                  <c:v>2.9</c:v>
                </c:pt>
                <c:pt idx="1">
                  <c:v>3.4</c:v>
                </c:pt>
                <c:pt idx="2">
                  <c:v>13.3</c:v>
                </c:pt>
                <c:pt idx="3">
                  <c:v>3.5</c:v>
                </c:pt>
                <c:pt idx="4">
                  <c:v>11.1</c:v>
                </c:pt>
                <c:pt idx="5">
                  <c:v>8.3</c:v>
                </c:pt>
                <c:pt idx="6">
                  <c:v>5.3</c:v>
                </c:pt>
                <c:pt idx="7">
                  <c:v>8.3</c:v>
                </c:pt>
                <c:pt idx="8">
                  <c:v>8.9</c:v>
                </c:pt>
                <c:pt idx="9">
                  <c:v>10.6</c:v>
                </c:pt>
                <c:pt idx="10">
                  <c:v>10.7</c:v>
                </c:pt>
                <c:pt idx="11">
                  <c:v>6.5</c:v>
                </c:pt>
              </c:numCache>
            </c:numRef>
          </c:val>
          <c:smooth val="0"/>
        </c:ser>
        <c:ser>
          <c:idx val="2"/>
          <c:order val="2"/>
          <c:tx>
            <c:strRef>
              <c:f>[表格1.xls]地方收入!$B$7</c:f>
              <c:strCache>
                <c:ptCount val="1"/>
                <c:pt idx="0">
                  <c:v>2022年</c:v>
                </c:pt>
              </c:strCache>
            </c:strRef>
          </c:tx>
          <c:dLbls>
            <c:dLbl>
              <c:idx val="0"/>
              <c:layout>
                <c:manualLayout>
                  <c:x val="-0.00168067226890756"/>
                  <c:y val="-0.046204620462046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[表格1.xls]地方收入!$C$4:$N$4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[表格1.xls]地方收入!$C$7:$N$7</c:f>
              <c:numCache>
                <c:formatCode>0.0_ </c:formatCode>
                <c:ptCount val="12"/>
                <c:pt idx="0">
                  <c:v>2.5</c:v>
                </c:pt>
                <c:pt idx="1">
                  <c:v>11.4</c:v>
                </c:pt>
                <c:pt idx="2">
                  <c:v>7.6</c:v>
                </c:pt>
                <c:pt idx="3">
                  <c:v>1.1</c:v>
                </c:pt>
                <c:pt idx="4">
                  <c:v>0.5</c:v>
                </c:pt>
                <c:pt idx="5">
                  <c:v>1.4</c:v>
                </c:pt>
                <c:pt idx="6">
                  <c:v>-1.6</c:v>
                </c:pt>
                <c:pt idx="7">
                  <c:v>-2.6</c:v>
                </c:pt>
                <c:pt idx="8">
                  <c:v>-7.1</c:v>
                </c:pt>
                <c:pt idx="9">
                  <c:v>-10.5</c:v>
                </c:pt>
                <c:pt idx="10">
                  <c:v>-10</c:v>
                </c:pt>
                <c:pt idx="11">
                  <c:v>-5.4</c:v>
                </c:pt>
              </c:numCache>
            </c:numRef>
          </c:val>
          <c:smooth val="0"/>
        </c:ser>
        <c:dLbls>
          <c:showLegendKey val="0"/>
          <c:showVal val="0"/>
          <c:showCatName val="0"/>
          <c:showSerName val="0"/>
          <c:showPercent val="0"/>
          <c:showBubbleSize val="0"/>
        </c:dLbls>
        <c:marker val="1"/>
        <c:smooth val="0"/>
        <c:axId val="802454471"/>
        <c:axId val="924051779"/>
      </c:lineChart>
      <c:catAx>
        <c:axId val="802454471"/>
        <c:scaling>
          <c:orientation val="minMax"/>
        </c:scaling>
        <c:delete val="0"/>
        <c:axPos val="b"/>
        <c:majorTickMark val="out"/>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4051779"/>
        <c:crosses val="autoZero"/>
        <c:auto val="1"/>
        <c:lblAlgn val="ctr"/>
        <c:lblOffset val="100"/>
        <c:noMultiLvlLbl val="0"/>
      </c:catAx>
      <c:valAx>
        <c:axId val="924051779"/>
        <c:scaling>
          <c:orientation val="minMax"/>
        </c:scaling>
        <c:delete val="0"/>
        <c:axPos val="l"/>
        <c:majorGridlines/>
        <c:numFmt formatCode="0.0_ "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2454471"/>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6350" cap="flat" cmpd="sng" algn="ctr">
      <a:noFill/>
      <a:prstDash val="solid"/>
      <a:round/>
    </a:ln>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8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税收收入占一般公共预算收入比重</a:t>
            </a:r>
            <a:endParaRPr sz="168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7444894309347"/>
          <c:y val="0.00623052959501558"/>
        </c:manualLayout>
      </c:layout>
      <c:overlay val="0"/>
      <c:spPr>
        <a:noFill/>
        <a:ln w="3175">
          <a:noFill/>
        </a:ln>
      </c:spPr>
    </c:title>
    <c:autoTitleDeleted val="0"/>
    <c:plotArea>
      <c:layout>
        <c:manualLayout>
          <c:layoutTarget val="inner"/>
          <c:xMode val="edge"/>
          <c:yMode val="edge"/>
          <c:x val="0.13406991690715"/>
          <c:y val="0.333336375611878"/>
          <c:w val="0.843851829945003"/>
          <c:h val="0.520253969412932"/>
        </c:manualLayout>
      </c:layout>
      <c:barChart>
        <c:barDir val="col"/>
        <c:grouping val="clustered"/>
        <c:varyColors val="0"/>
        <c:ser>
          <c:idx val="0"/>
          <c:order val="0"/>
          <c:tx>
            <c:strRef>
              <c:f>[表格1.xls]税收比重!$B$5</c:f>
              <c:strCache>
                <c:ptCount val="1"/>
                <c:pt idx="0">
                  <c:v>2022年</c:v>
                </c:pt>
              </c:strCache>
            </c:strRef>
          </c:tx>
          <c:spPr>
            <a:solidFill>
              <a:srgbClr val="9999FF">
                <a:alpha val="100000"/>
              </a:srgbClr>
            </a:solidFill>
            <a:ln w="12700">
              <a:solidFill>
                <a:srgbClr val="000000">
                  <a:alpha val="100000"/>
                </a:srgbClr>
              </a:solidFill>
              <a:prstDash val="solid"/>
            </a:ln>
          </c:spPr>
          <c:invertIfNegative val="0"/>
          <c:dLbls>
            <c:delete val="1"/>
          </c:dLbls>
          <c:cat>
            <c:numRef>
              <c:f>[表格1.xls]税收比重!$C$4:$N$4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[表格1.xls]税收比重!$C$5:$N$5</c:f>
              <c:numCache>
                <c:formatCode>0.0_ </c:formatCode>
                <c:ptCount val="12"/>
                <c:pt idx="0">
                  <c:v>66.8</c:v>
                </c:pt>
                <c:pt idx="1">
                  <c:v>83.9</c:v>
                </c:pt>
                <c:pt idx="2">
                  <c:v>78.9</c:v>
                </c:pt>
                <c:pt idx="3">
                  <c:v>75.2</c:v>
                </c:pt>
                <c:pt idx="4">
                  <c:v>69.6</c:v>
                </c:pt>
                <c:pt idx="5">
                  <c:v>60.9</c:v>
                </c:pt>
                <c:pt idx="6">
                  <c:v>58.1</c:v>
                </c:pt>
                <c:pt idx="7">
                  <c:v>60.4</c:v>
                </c:pt>
                <c:pt idx="8">
                  <c:v>61.1</c:v>
                </c:pt>
                <c:pt idx="9">
                  <c:v>64.4</c:v>
                </c:pt>
                <c:pt idx="10">
                  <c:v>65.7</c:v>
                </c:pt>
                <c:pt idx="11">
                  <c:v>61.9</c:v>
                </c:pt>
              </c:numCache>
            </c:numRef>
          </c:val>
        </c:ser>
        <c:ser>
          <c:idx val="1"/>
          <c:order val="1"/>
          <c:tx>
            <c:strRef>
              <c:f>[表格1.xls]税收比重!$B$6</c:f>
              <c:strCache>
                <c:ptCount val="1"/>
                <c:pt idx="0">
                  <c:v>2023年</c:v>
                </c:pt>
              </c:strCache>
            </c:strRef>
          </c:tx>
          <c:spPr>
            <a:solidFill>
              <a:schemeClr val="accent3">
                <a:lumMod val="75000"/>
              </a:schemeClr>
            </a:solidFill>
            <a:ln w="12700">
              <a:solidFill>
                <a:srgbClr val="000000">
                  <a:alpha val="100000"/>
                </a:srgbClr>
              </a:solidFill>
              <a:prstDash val="solid"/>
            </a:ln>
          </c:spPr>
          <c:invertIfNegative val="0"/>
          <c:dLbls>
            <c:delete val="1"/>
          </c:dLbls>
          <c:cat>
            <c:numRef>
              <c:f>[表格1.xls]税收比重!$C$4:$N$4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[表格1.xls]税收比重!$C$6:$N$6</c:f>
              <c:numCache>
                <c:formatCode>0.0_ </c:formatCode>
                <c:ptCount val="12"/>
                <c:pt idx="0">
                  <c:v>77</c:v>
                </c:pt>
                <c:pt idx="1">
                  <c:v>71.7</c:v>
                </c:pt>
                <c:pt idx="2">
                  <c:v>72.7</c:v>
                </c:pt>
                <c:pt idx="3">
                  <c:v>80.9</c:v>
                </c:pt>
                <c:pt idx="4">
                  <c:v>72.7</c:v>
                </c:pt>
                <c:pt idx="5">
                  <c:v>66.9</c:v>
                </c:pt>
                <c:pt idx="6">
                  <c:v>69.2</c:v>
                </c:pt>
                <c:pt idx="7">
                  <c:v>67.7</c:v>
                </c:pt>
                <c:pt idx="8">
                  <c:v>67.1</c:v>
                </c:pt>
                <c:pt idx="9">
                  <c:v>70.2</c:v>
                </c:pt>
                <c:pt idx="10">
                  <c:v>70.3</c:v>
                </c:pt>
                <c:pt idx="11">
                  <c:v>69.3</c:v>
                </c:pt>
              </c:numCache>
            </c:numRef>
          </c:val>
        </c:ser>
        <c:ser>
          <c:idx val="2"/>
          <c:order val="2"/>
          <c:tx>
            <c:strRef>
              <c:f>[表格1.xls]税收比重!$B$7</c:f>
              <c:strCache>
                <c:ptCount val="1"/>
                <c:pt idx="0">
                  <c:v>2024年</c:v>
                </c:pt>
              </c:strCache>
            </c:strRef>
          </c:tx>
          <c:spPr>
            <a:solidFill>
              <a:srgbClr val="C00000"/>
            </a:solidFill>
          </c:spPr>
          <c:invertIfNegative val="0"/>
          <c:dLbls>
            <c:delete val="1"/>
          </c:dLbls>
          <c:cat>
            <c:numRef>
              <c:f>[表格1.xls]税收比重!$C$4:$N$4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[表格1.xls]税收比重!$C$7:$N$7</c:f>
              <c:numCache>
                <c:formatCode>0.0_ </c:formatCode>
                <c:ptCount val="12"/>
                <c:pt idx="0">
                  <c:v>71.4</c:v>
                </c:pt>
                <c:pt idx="1">
                  <c:v>65</c:v>
                </c:pt>
                <c:pt idx="2">
                  <c:v>61.9</c:v>
                </c:pt>
                <c:pt idx="3">
                  <c:v>67.4</c:v>
                </c:pt>
                <c:pt idx="4">
                  <c:v>61.4</c:v>
                </c:pt>
                <c:pt idx="5">
                  <c:v>60</c:v>
                </c:pt>
                <c:pt idx="6">
                  <c:v>62</c:v>
                </c:pt>
                <c:pt idx="7">
                  <c:v>62.5</c:v>
                </c:pt>
                <c:pt idx="8">
                  <c:v>62.3</c:v>
                </c:pt>
                <c:pt idx="9">
                  <c:v>64.5</c:v>
                </c:pt>
                <c:pt idx="10">
                  <c:v>66.5</c:v>
                </c:pt>
                <c:pt idx="11">
                  <c:v>65.2</c:v>
                </c:pt>
              </c:numCache>
            </c:numRef>
          </c:val>
        </c:ser>
        <c:dLbls>
          <c:showLegendKey val="0"/>
          <c:showVal val="0"/>
          <c:showCatName val="0"/>
          <c:showSerName val="0"/>
          <c:showPercent val="0"/>
          <c:showBubbleSize val="0"/>
        </c:dLbls>
        <c:gapWidth val="150"/>
        <c:overlap val="0"/>
        <c:axId val="891908623"/>
        <c:axId val="268870552"/>
      </c:barChart>
      <c:catAx>
        <c:axId val="891908623"/>
        <c:scaling>
          <c:orientation val="minMax"/>
        </c:scaling>
        <c:delete val="0"/>
        <c:axPos val="b"/>
        <c:majorTickMark val="out"/>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68870552"/>
        <c:crosses val="autoZero"/>
        <c:auto val="1"/>
        <c:lblAlgn val="ctr"/>
        <c:lblOffset val="100"/>
        <c:tickLblSkip val="1"/>
        <c:noMultiLvlLbl val="0"/>
      </c:catAx>
      <c:valAx>
        <c:axId val="268870552"/>
        <c:scaling>
          <c:orientation val="minMax"/>
        </c:scaling>
        <c:delete val="0"/>
        <c:axPos val="l"/>
        <c:majorGridlines>
          <c:spPr>
            <a:ln w="3175" cap="flat" cmpd="sng" algn="ctr">
              <a:solidFill>
                <a:srgbClr val="000000">
                  <a:alpha val="100000"/>
                </a:srgbClr>
              </a:solidFill>
              <a:prstDash val="solid"/>
              <a:round/>
            </a:ln>
          </c:spPr>
        </c:majorGridlines>
        <c:numFmt formatCode="0.0_ " sourceLinked="1"/>
        <c:majorTickMark val="out"/>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91908623"/>
        <c:crosses val="autoZero"/>
        <c:crossBetween val="between"/>
      </c:valAx>
      <c:dTable>
        <c:showHorzBorder val="1"/>
        <c:showVertBorder val="1"/>
        <c:showOutline val="1"/>
        <c:showKeys val="1"/>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Table>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no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100" b="1" i="0" u="none" strike="noStrike" baseline="0">
                <a:solidFill>
                  <a:srgbClr val="000000"/>
                </a:solidFill>
                <a:latin typeface="宋体" panose="02010600030101010101" charset="-122"/>
                <a:ea typeface="宋体" panose="02010600030101010101" charset="-122"/>
                <a:cs typeface="宋体" panose="02010600030101010101" charset="-122"/>
              </a:rPr>
              <a:t>20</a:t>
            </a:r>
            <a:r>
              <a:rPr lang="en-US" altLang="zh-CN" sz="1100" b="1" i="0" u="none" strike="noStrike" baseline="0">
                <a:solidFill>
                  <a:srgbClr val="000000"/>
                </a:solidFill>
                <a:latin typeface="宋体" panose="02010600030101010101" charset="-122"/>
                <a:ea typeface="宋体" panose="02010600030101010101" charset="-122"/>
                <a:cs typeface="宋体" panose="02010600030101010101" charset="-122"/>
              </a:rPr>
              <a:t>24</a:t>
            </a:r>
            <a:r>
              <a:rPr sz="1100" b="1" i="0" u="none" strike="noStrike" baseline="0">
                <a:solidFill>
                  <a:srgbClr val="000000"/>
                </a:solidFill>
                <a:latin typeface="宋体" panose="02010600030101010101" charset="-122"/>
                <a:ea typeface="宋体" panose="02010600030101010101" charset="-122"/>
                <a:cs typeface="宋体" panose="02010600030101010101" charset="-122"/>
              </a:rPr>
              <a:t>年收入结构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8521116678597"/>
          <c:y val="0.0408164223374517"/>
        </c:manualLayout>
      </c:layout>
      <c:overlay val="0"/>
      <c:spPr>
        <a:noFill/>
        <a:ln w="3175">
          <a:noFill/>
        </a:ln>
      </c:spPr>
    </c:title>
    <c:autoTitleDeleted val="0"/>
    <c:plotArea>
      <c:layout>
        <c:manualLayout>
          <c:layoutTarget val="inner"/>
          <c:xMode val="edge"/>
          <c:yMode val="edge"/>
          <c:x val="0.225352112676056"/>
          <c:y val="0.269387755102041"/>
          <c:w val="0.552816901408451"/>
          <c:h val="0.640816326530612"/>
        </c:manualLayout>
      </c:layout>
      <c:pieChart>
        <c:varyColors val="1"/>
        <c:ser>
          <c:idx val="0"/>
          <c:order val="0"/>
          <c:tx>
            <c:strRef>
              <c:f>[表格1.xls]收入结构!$C$2</c:f>
              <c:strCache>
                <c:ptCount val="1"/>
                <c:pt idx="0">
                  <c:v>2023年</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5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[表格1.xls]收入结构!$A$3:$A$5</c:f>
              <c:strCache>
                <c:ptCount val="3"/>
                <c:pt idx="0">
                  <c:v>主体税种</c:v>
                </c:pt>
                <c:pt idx="1">
                  <c:v>小税种</c:v>
                </c:pt>
                <c:pt idx="2">
                  <c:v>非税收入</c:v>
                </c:pt>
              </c:strCache>
            </c:strRef>
          </c:cat>
          <c:val>
            <c:numRef>
              <c:f>[表格1.xls]收入结构!$B$3:$B$5</c:f>
              <c:numCache>
                <c:formatCode>General</c:formatCode>
                <c:ptCount val="3"/>
                <c:pt idx="0">
                  <c:v>97948</c:v>
                </c:pt>
                <c:pt idx="1">
                  <c:v>89384</c:v>
                </c:pt>
                <c:pt idx="2">
                  <c:v>100190</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zero"/>
    <c:showDLblsOverMax val="0"/>
  </c:chart>
  <c:spPr>
    <a:solidFill>
      <a:srgbClr val="FFFFFF">
        <a:alpha val="100000"/>
      </a:srgbClr>
    </a:solidFill>
    <a:ln w="3175" cap="flat" cmpd="sng" algn="ctr">
      <a:noFill/>
      <a:prstDash val="solid"/>
      <a:round/>
    </a:ln>
  </c:spPr>
  <c:txPr>
    <a:bodyPr rot="0" wrap="square" anchor="ctr" anchorCtr="1"/>
    <a:lstStyle/>
    <a:p>
      <a:pPr>
        <a:defRPr lang="zh-CN" sz="5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75"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100" b="1" i="0" u="none" strike="noStrike" baseline="0">
                <a:solidFill>
                  <a:srgbClr val="000000"/>
                </a:solidFill>
                <a:latin typeface="宋体" panose="02010600030101010101" charset="-122"/>
                <a:ea typeface="宋体" panose="02010600030101010101" charset="-122"/>
                <a:cs typeface="宋体" panose="02010600030101010101" charset="-122"/>
              </a:rPr>
              <a:t>202</a:t>
            </a:r>
            <a:r>
              <a:rPr lang="en-US" altLang="zh-CN" sz="1100" b="1" i="0" u="none" strike="noStrike" baseline="0">
                <a:solidFill>
                  <a:srgbClr val="000000"/>
                </a:solidFill>
                <a:latin typeface="宋体" panose="02010600030101010101" charset="-122"/>
                <a:ea typeface="宋体" panose="02010600030101010101" charset="-122"/>
                <a:cs typeface="宋体" panose="02010600030101010101" charset="-122"/>
              </a:rPr>
              <a:t>3</a:t>
            </a:r>
            <a:r>
              <a:rPr sz="1100" b="1" i="0" u="none" strike="noStrike" baseline="0">
                <a:solidFill>
                  <a:srgbClr val="000000"/>
                </a:solidFill>
                <a:latin typeface="宋体" panose="02010600030101010101" charset="-122"/>
                <a:ea typeface="宋体" panose="02010600030101010101" charset="-122"/>
                <a:cs typeface="宋体" panose="02010600030101010101" charset="-122"/>
              </a:rPr>
              <a:t>年收入结构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18339592166364"/>
          <c:y val="0.0404855643044619"/>
        </c:manualLayout>
      </c:layout>
      <c:overlay val="0"/>
      <c:spPr>
        <a:noFill/>
        <a:ln w="3175">
          <a:noFill/>
        </a:ln>
      </c:spPr>
    </c:title>
    <c:autoTitleDeleted val="0"/>
    <c:plotArea>
      <c:layout>
        <c:manualLayout>
          <c:layoutTarget val="inner"/>
          <c:xMode val="edge"/>
          <c:yMode val="edge"/>
          <c:x val="0.221453661355262"/>
          <c:y val="0.255061232962015"/>
          <c:w val="0.560554580305506"/>
          <c:h val="0.655871741902324"/>
        </c:manualLayout>
      </c:layout>
      <c:pieChart>
        <c:varyColors val="1"/>
        <c:ser>
          <c:idx val="0"/>
          <c:order val="0"/>
          <c:tx>
            <c:strRef>
              <c:f>[表格1.xls]收入结构!$B$2</c:f>
              <c:strCache>
                <c:ptCount val="1"/>
                <c:pt idx="0">
                  <c:v>2024年</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12700">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5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[表格1.xls]收入结构!$D$3:$D$5</c:f>
              <c:strCache>
                <c:ptCount val="3"/>
                <c:pt idx="0">
                  <c:v>主体税种</c:v>
                </c:pt>
                <c:pt idx="1">
                  <c:v>小税种</c:v>
                </c:pt>
                <c:pt idx="2">
                  <c:v>非税收入</c:v>
                </c:pt>
              </c:strCache>
            </c:strRef>
          </c:cat>
          <c:val>
            <c:numRef>
              <c:f>[表格1.xls]收入结构!$C$3:$C$5</c:f>
              <c:numCache>
                <c:formatCode>General</c:formatCode>
                <c:ptCount val="3"/>
                <c:pt idx="0">
                  <c:v>113136</c:v>
                </c:pt>
                <c:pt idx="1">
                  <c:v>79231</c:v>
                </c:pt>
                <c:pt idx="2">
                  <c:v>75341</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zero"/>
    <c:showDLblsOverMax val="0"/>
  </c:chart>
  <c:spPr>
    <a:solidFill>
      <a:srgbClr val="FFFFFF">
        <a:alpha val="100000"/>
      </a:srgbClr>
    </a:solidFill>
    <a:ln w="3175" cap="flat" cmpd="sng" algn="ctr">
      <a:noFill/>
      <a:prstDash val="solid"/>
      <a:round/>
    </a:ln>
  </c:spPr>
  <c:txPr>
    <a:bodyPr rot="0" wrap="square" anchor="ctr" anchorCtr="1"/>
    <a:lstStyle/>
    <a:p>
      <a:pPr>
        <a:defRPr lang="zh-CN" sz="5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今年公共预算收入分部门构成</a:t>
            </a:r>
            <a:endParaRPr sz="9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20989814544787"/>
          <c:y val="0.0473684210526316"/>
        </c:manualLayout>
      </c:layout>
      <c:overlay val="0"/>
      <c:spPr>
        <a:noFill/>
        <a:ln w="3175">
          <a:noFill/>
        </a:ln>
      </c:spPr>
    </c:title>
    <c:autoTitleDeleted val="0"/>
    <c:plotArea>
      <c:layout>
        <c:manualLayout>
          <c:layoutTarget val="inner"/>
          <c:xMode val="edge"/>
          <c:yMode val="edge"/>
          <c:x val="0.0987661597836811"/>
          <c:y val="0.463159481769058"/>
          <c:w val="0.806590304900062"/>
          <c:h val="0.410527722477119"/>
        </c:manualLayout>
      </c:layout>
      <c:pieChart>
        <c:varyColors val="1"/>
        <c:ser>
          <c:idx val="0"/>
          <c:order val="0"/>
          <c:spPr>
            <a:ln w="12700">
              <a:solidFill>
                <a:srgbClr val="000000"/>
              </a:solidFill>
              <a:prstDash val="solid"/>
            </a:ln>
          </c:spPr>
          <c:explosion val="0"/>
          <c:dPt>
            <c:idx val="0"/>
            <c:bubble3D val="0"/>
            <c:explosion val="0"/>
            <c:spPr>
              <a:solidFill>
                <a:srgbClr val="9999FF">
                  <a:alpha val="100000"/>
                </a:srgbClr>
              </a:solidFill>
              <a:ln w="19050">
                <a:solidFill>
                  <a:srgbClr val="000000">
                    <a:alpha val="100000"/>
                  </a:srgbClr>
                </a:solidFill>
                <a:prstDash val="solid"/>
              </a:ln>
            </c:spPr>
          </c:dPt>
          <c:dPt>
            <c:idx val="1"/>
            <c:bubble3D val="0"/>
            <c:explosion val="0"/>
            <c:spPr>
              <a:solidFill>
                <a:srgbClr val="993366">
                  <a:alpha val="100000"/>
                </a:srgbClr>
              </a:solidFill>
              <a:ln w="19050">
                <a:solidFill>
                  <a:srgbClr val="000000">
                    <a:alpha val="100000"/>
                  </a:srgbClr>
                </a:solidFill>
                <a:prstDash val="solid"/>
              </a:ln>
            </c:spPr>
          </c:dPt>
          <c:dLbls>
            <c:dLbl>
              <c:idx val="1"/>
              <c:layout>
                <c:manualLayout>
                  <c:x val="-0.0419175652585803"/>
                  <c:y val="0.0336886551096596"/>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4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[表格1.xls]分部门!$W$1:$X$1</c:f>
              <c:strCache>
                <c:ptCount val="2"/>
                <c:pt idx="0">
                  <c:v>税务</c:v>
                </c:pt>
                <c:pt idx="1">
                  <c:v>财政</c:v>
                </c:pt>
              </c:strCache>
            </c:strRef>
          </c:cat>
          <c:val>
            <c:numRef>
              <c:f>[表格1.xls]分部门!$W$2:$X$2</c:f>
              <c:numCache>
                <c:formatCode>0_ </c:formatCode>
                <c:ptCount val="2"/>
                <c:pt idx="0">
                  <c:v>315347</c:v>
                </c:pt>
                <c:pt idx="1">
                  <c:v>93171</c:v>
                </c:pt>
              </c:numCache>
            </c:numRef>
          </c:val>
        </c:ser>
        <c:ser>
          <c:idx val="1"/>
          <c:order val="1"/>
          <c:explosion val="0"/>
          <c:dPt>
            <c:idx val="0"/>
            <c:bubble3D val="0"/>
            <c:explosion val="0"/>
          </c:dPt>
          <c:dPt>
            <c:idx val="1"/>
            <c:bubble3D val="0"/>
            <c:explosion val="0"/>
          </c:dPt>
          <c:dLbls>
            <c:delete val="1"/>
          </c:dLbls>
          <c:cat>
            <c:strRef>
              <c:f>[表格1.xls]分部门!$W$1:$X$1</c:f>
              <c:strCache>
                <c:ptCount val="2"/>
                <c:pt idx="0">
                  <c:v>税务</c:v>
                </c:pt>
                <c:pt idx="1">
                  <c:v>财政</c:v>
                </c:pt>
              </c:strCache>
            </c:strRef>
          </c:cat>
          <c:val>
            <c:numRef>
              <c:f>[表格1.xls]分部门!$W$3:$X$3</c:f>
              <c:numCache>
                <c:formatCode>0.00%</c:formatCode>
                <c:ptCount val="2"/>
                <c:pt idx="0">
                  <c:v>0.771929266274681</c:v>
                </c:pt>
                <c:pt idx="1">
                  <c:v>0.228070733725319</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zero"/>
    <c:showDLblsOverMax val="0"/>
  </c:chart>
  <c:spPr>
    <a:solidFill>
      <a:srgbClr val="FFFFFF">
        <a:alpha val="100000"/>
      </a:srgbClr>
    </a:solidFill>
    <a:ln w="3175" cap="flat" cmpd="sng" algn="ctr">
      <a:noFill/>
      <a:prstDash val="solid"/>
      <a:round/>
    </a:ln>
  </c:spPr>
  <c:txPr>
    <a:bodyPr rot="0" wrap="square" anchor="ctr" anchorCtr="1"/>
    <a:lstStyle/>
    <a:p>
      <a:pPr>
        <a:defRPr lang="zh-CN" sz="4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8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去年公共预算收入分部门构成</a:t>
            </a:r>
            <a:endParaRPr sz="87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25303734623534"/>
          <c:y val="0.0486492161452791"/>
        </c:manualLayout>
      </c:layout>
      <c:overlay val="0"/>
      <c:spPr>
        <a:noFill/>
        <a:ln w="3175">
          <a:noFill/>
        </a:ln>
      </c:spPr>
    </c:title>
    <c:autoTitleDeleted val="0"/>
    <c:plotArea>
      <c:layout>
        <c:manualLayout>
          <c:layoutTarget val="inner"/>
          <c:xMode val="edge"/>
          <c:yMode val="edge"/>
          <c:x val="0.0963863297128105"/>
          <c:y val="0.470273993934707"/>
          <c:w val="0.694784793346509"/>
          <c:h val="0.372975926224078"/>
        </c:manualLayout>
      </c:layout>
      <c:pieChart>
        <c:varyColors val="1"/>
        <c:ser>
          <c:idx val="0"/>
          <c:order val="0"/>
          <c:spPr>
            <a:ln w="12700">
              <a:solidFill>
                <a:srgbClr val="000000"/>
              </a:solidFill>
              <a:prstDash val="solid"/>
            </a:ln>
          </c:spPr>
          <c:explosion val="0"/>
          <c:dPt>
            <c:idx val="0"/>
            <c:bubble3D val="0"/>
            <c:explosion val="0"/>
            <c:spPr>
              <a:solidFill>
                <a:srgbClr val="9999FF">
                  <a:alpha val="100000"/>
                </a:srgbClr>
              </a:solidFill>
              <a:ln w="19050">
                <a:solidFill>
                  <a:srgbClr val="000000">
                    <a:alpha val="100000"/>
                  </a:srgbClr>
                </a:solidFill>
                <a:prstDash val="solid"/>
              </a:ln>
            </c:spPr>
          </c:dPt>
          <c:dPt>
            <c:idx val="1"/>
            <c:bubble3D val="0"/>
            <c:explosion val="0"/>
            <c:spPr>
              <a:solidFill>
                <a:srgbClr val="993366">
                  <a:alpha val="100000"/>
                </a:srgbClr>
              </a:solidFill>
              <a:ln w="19050">
                <a:solidFill>
                  <a:srgbClr val="000000">
                    <a:alpha val="100000"/>
                  </a:srgbClr>
                </a:solidFill>
                <a:prstDash val="solid"/>
              </a:ln>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[表格1.xls]分部门!$B$2:$C$2</c:f>
              <c:strCache>
                <c:ptCount val="2"/>
                <c:pt idx="0">
                  <c:v>税务</c:v>
                </c:pt>
                <c:pt idx="1">
                  <c:v>财政</c:v>
                </c:pt>
              </c:strCache>
            </c:strRef>
          </c:cat>
          <c:val>
            <c:numRef>
              <c:f>[表格1.xls]分部门!$B$3:$C$3</c:f>
              <c:numCache>
                <c:formatCode>0_ </c:formatCode>
                <c:ptCount val="2"/>
                <c:pt idx="0">
                  <c:v>342828</c:v>
                </c:pt>
                <c:pt idx="1">
                  <c:v>72635</c:v>
                </c:pt>
              </c:numCache>
            </c:numRef>
          </c:val>
        </c:ser>
        <c:ser>
          <c:idx val="1"/>
          <c:order val="1"/>
          <c:explosion val="0"/>
          <c:dPt>
            <c:idx val="0"/>
            <c:bubble3D val="0"/>
            <c:explosion val="0"/>
          </c:dPt>
          <c:dPt>
            <c:idx val="1"/>
            <c:bubble3D val="0"/>
            <c:explosion val="0"/>
          </c:dPt>
          <c:dLbls>
            <c:delete val="1"/>
          </c:dLbls>
          <c:cat>
            <c:strRef>
              <c:f>[表格1.xls]分部门!$B$2:$C$2</c:f>
              <c:strCache>
                <c:ptCount val="2"/>
                <c:pt idx="0">
                  <c:v>税务</c:v>
                </c:pt>
                <c:pt idx="1">
                  <c:v>财政</c:v>
                </c:pt>
              </c:strCache>
            </c:strRef>
          </c:cat>
          <c:val>
            <c:numRef>
              <c:f>[表格1.xls]分部门!$B$4:$C$4</c:f>
              <c:numCache>
                <c:formatCode>0_ </c:formatCode>
                <c:ptCount val="2"/>
                <c:pt idx="0">
                  <c:v>191955</c:v>
                </c:pt>
                <c:pt idx="1">
                  <c:v>66984</c:v>
                </c:pt>
              </c:numCache>
            </c:numRef>
          </c:val>
        </c:ser>
        <c:ser>
          <c:idx val="2"/>
          <c:order val="2"/>
          <c:explosion val="0"/>
          <c:dPt>
            <c:idx val="0"/>
            <c:bubble3D val="0"/>
            <c:explosion val="0"/>
          </c:dPt>
          <c:dPt>
            <c:idx val="1"/>
            <c:bubble3D val="0"/>
            <c:explosion val="0"/>
          </c:dPt>
          <c:dLbls>
            <c:delete val="1"/>
          </c:dLbls>
          <c:cat>
            <c:strRef>
              <c:f>[表格1.xls]分部门!$B$2:$C$2</c:f>
              <c:strCache>
                <c:ptCount val="2"/>
                <c:pt idx="0">
                  <c:v>税务</c:v>
                </c:pt>
                <c:pt idx="1">
                  <c:v>财政</c:v>
                </c:pt>
              </c:strCache>
            </c:strRef>
          </c:cat>
          <c:val>
            <c:numRef>
              <c:f>[表格1.xls]分部门!$B$5:$C$5</c:f>
              <c:numCache>
                <c:formatCode>0.00%</c:formatCode>
                <c:ptCount val="2"/>
                <c:pt idx="0">
                  <c:v>1.78598108931781</c:v>
                </c:pt>
                <c:pt idx="1">
                  <c:v>1.08436343007285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867477047296799"/>
          <c:y val="0.627032134496701"/>
          <c:w val="0.09575"/>
          <c:h val="0.14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4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noFill/>
      <a:prstDash val="solid"/>
      <a:round/>
    </a:ln>
  </c:spPr>
  <c:txPr>
    <a:bodyPr rot="0" wrap="square" anchor="ctr" anchorCtr="1"/>
    <a:lstStyle/>
    <a:p>
      <a:pPr>
        <a:defRPr lang="zh-CN" sz="4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10166</Words>
  <Characters>11528</Characters>
  <Lines>0</Lines>
  <Paragraphs>0</Paragraphs>
  <TotalTime>6</TotalTime>
  <ScaleCrop>false</ScaleCrop>
  <LinksUpToDate>false</LinksUpToDate>
  <CharactersWithSpaces>11602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2024-10-12T06:25:00Z</dcterms:created>
  <dc:creator>Administrator</dc:creator>
  <cp:lastModifiedBy>Administrator</cp:lastModifiedBy>
  <dcterms:modified xsi:type="dcterms:W3CDTF">2025-09-22T02:36:41Z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80B56AAC21D34FD29FADD440BBE08BE7_13</vt:lpwstr>
  </property>
</Properties>
</file>