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黑体" w:hAnsi="黑体" w:eastAsia="黑体"/>
          <w:bCs/>
          <w:sz w:val="32"/>
          <w:szCs w:val="32"/>
        </w:rPr>
      </w:pPr>
    </w:p>
    <w:p>
      <w:pPr>
        <w:spacing w:line="590" w:lineRule="exact"/>
        <w:jc w:val="center"/>
        <w:rPr>
          <w:rFonts w:hint="eastAsia" w:ascii="方正小标宋简体" w:hAnsi="方正大标宋简体" w:eastAsia="方正小标宋简体" w:cs="方正大标宋简体"/>
          <w:bCs/>
          <w:sz w:val="44"/>
          <w:szCs w:val="44"/>
        </w:rPr>
      </w:pPr>
      <w:r>
        <w:rPr>
          <w:rFonts w:hint="eastAsia" w:ascii="方正小标宋简体" w:hAnsi="方正大标宋简体" w:eastAsia="方正小标宋简体" w:cs="方正大标宋简体"/>
          <w:bCs/>
          <w:sz w:val="44"/>
          <w:szCs w:val="44"/>
        </w:rPr>
        <w:t>重点任务分工</w:t>
      </w:r>
    </w:p>
    <w:p>
      <w:pPr>
        <w:spacing w:line="590" w:lineRule="exact"/>
        <w:jc w:val="center"/>
        <w:rPr>
          <w:rFonts w:hint="eastAsia" w:ascii="方正小标宋简体" w:hAnsi="方正大标宋简体" w:eastAsia="方正小标宋简体" w:cs="方正大标宋简体"/>
          <w:bCs/>
          <w:sz w:val="44"/>
          <w:szCs w:val="44"/>
        </w:rPr>
      </w:pPr>
    </w:p>
    <w:tbl>
      <w:tblPr>
        <w:tblStyle w:val="2"/>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48"/>
        <w:gridCol w:w="4308"/>
        <w:gridCol w:w="198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tblHeader/>
        </w:trPr>
        <w:tc>
          <w:tcPr>
            <w:tcW w:w="748" w:type="dxa"/>
            <w:noWrap w:val="0"/>
            <w:vAlign w:val="center"/>
          </w:tcPr>
          <w:p>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序号</w:t>
            </w:r>
          </w:p>
        </w:tc>
        <w:tc>
          <w:tcPr>
            <w:tcW w:w="4308" w:type="dxa"/>
            <w:noWrap w:val="0"/>
            <w:vAlign w:val="center"/>
          </w:tcPr>
          <w:p>
            <w:pPr>
              <w:tabs>
                <w:tab w:val="left" w:pos="210"/>
              </w:tabs>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重点任务</w:t>
            </w:r>
          </w:p>
        </w:tc>
        <w:tc>
          <w:tcPr>
            <w:tcW w:w="1984" w:type="dxa"/>
            <w:noWrap w:val="0"/>
            <w:vAlign w:val="center"/>
          </w:tcPr>
          <w:p>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责任单位</w:t>
            </w:r>
          </w:p>
        </w:tc>
        <w:tc>
          <w:tcPr>
            <w:tcW w:w="2024" w:type="dxa"/>
            <w:noWrap w:val="0"/>
            <w:vAlign w:val="center"/>
          </w:tcPr>
          <w:p>
            <w:pPr>
              <w:spacing w:line="240" w:lineRule="exact"/>
              <w:jc w:val="center"/>
              <w:rPr>
                <w:rFonts w:hint="eastAsia" w:ascii="黑体" w:hAnsi="黑体" w:eastAsia="黑体" w:cs="黑体"/>
                <w:bCs/>
                <w:sz w:val="18"/>
                <w:szCs w:val="18"/>
              </w:rPr>
            </w:pPr>
            <w:r>
              <w:rPr>
                <w:rFonts w:hint="eastAsia" w:ascii="黑体" w:hAnsi="黑体" w:eastAsia="黑体" w:cs="黑体"/>
                <w:bCs/>
                <w:sz w:val="18"/>
                <w:szCs w:val="18"/>
              </w:rPr>
              <w:t>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9" w:hRule="atLeast"/>
        </w:trPr>
        <w:tc>
          <w:tcPr>
            <w:tcW w:w="748" w:type="dxa"/>
            <w:noWrap w:val="0"/>
            <w:vAlign w:val="center"/>
          </w:tcPr>
          <w:p>
            <w:pPr>
              <w:spacing w:line="240" w:lineRule="exact"/>
              <w:jc w:val="center"/>
              <w:rPr>
                <w:rFonts w:hint="eastAsia" w:ascii="方正大标宋简体" w:hAnsi="方正大标宋简体" w:eastAsia="方正大标宋简体" w:cs="方正大标宋简体"/>
                <w:bCs/>
                <w:sz w:val="18"/>
                <w:szCs w:val="18"/>
                <w:lang w:val="en-US" w:eastAsia="zh-CN"/>
              </w:rPr>
            </w:pPr>
            <w:r>
              <w:rPr>
                <w:rFonts w:hint="eastAsia" w:ascii="方正大标宋简体" w:hAnsi="方正大标宋简体" w:eastAsia="方正大标宋简体" w:cs="方正大标宋简体"/>
                <w:bCs/>
                <w:sz w:val="18"/>
                <w:szCs w:val="18"/>
                <w:lang w:val="en-US" w:eastAsia="zh-CN"/>
              </w:rPr>
              <w:t>1</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按照市级清单划定的职责任务，逐项研究确定工作运行流程，细化任务分工、明确程序环节、压实工作责任，打造清单事项的“施工图”“说明书”。</w:t>
            </w:r>
          </w:p>
        </w:tc>
        <w:tc>
          <w:tcPr>
            <w:tcW w:w="1984" w:type="dxa"/>
            <w:noWrap w:val="0"/>
            <w:vAlign w:val="center"/>
          </w:tcPr>
          <w:p>
            <w:pPr>
              <w:spacing w:line="240" w:lineRule="exact"/>
              <w:rPr>
                <w:rFonts w:hint="eastAsia" w:ascii="宋体" w:hAnsi="宋体" w:eastAsia="宋体"/>
                <w:bCs/>
                <w:sz w:val="18"/>
                <w:szCs w:val="18"/>
                <w:lang w:eastAsia="zh-CN"/>
              </w:rPr>
            </w:pPr>
            <w:r>
              <w:rPr>
                <w:rFonts w:hint="eastAsia" w:ascii="宋体" w:hAnsi="宋体"/>
                <w:bCs/>
                <w:sz w:val="18"/>
                <w:szCs w:val="18"/>
              </w:rPr>
              <w:t>县委编办、县司法局牵头，县直有关部门（单位）、乡镇（街道）</w:t>
            </w:r>
            <w:r>
              <w:rPr>
                <w:rFonts w:hint="eastAsia" w:ascii="宋体" w:hAnsi="宋体"/>
                <w:bCs/>
                <w:sz w:val="18"/>
                <w:szCs w:val="18"/>
                <w:lang w:eastAsia="zh-CN"/>
              </w:rPr>
              <w:t>配合</w:t>
            </w:r>
          </w:p>
        </w:tc>
        <w:tc>
          <w:tcPr>
            <w:tcW w:w="2024"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2019年8月20日前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trPr>
        <w:tc>
          <w:tcPr>
            <w:tcW w:w="748" w:type="dxa"/>
            <w:noWrap w:val="0"/>
            <w:vAlign w:val="center"/>
          </w:tcPr>
          <w:p>
            <w:pPr>
              <w:spacing w:line="240" w:lineRule="exact"/>
              <w:jc w:val="center"/>
              <w:rPr>
                <w:rFonts w:hint="eastAsia" w:ascii="仿宋_GB2312" w:hAnsi="宋体" w:eastAsia="仿宋_GB2312"/>
                <w:bCs/>
                <w:sz w:val="18"/>
                <w:szCs w:val="18"/>
              </w:rPr>
            </w:pPr>
            <w:r>
              <w:rPr>
                <w:rFonts w:hint="eastAsia" w:ascii="仿宋_GB2312" w:hAnsi="宋体" w:eastAsia="仿宋_GB2312"/>
                <w:bCs/>
                <w:sz w:val="18"/>
                <w:szCs w:val="18"/>
              </w:rPr>
              <w:t>2</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清单具体实施过程中，暂未列入清单但基层反映存在县乡职责不清等问题的事项，应及时增加到清单中；已列入清单，因法律法规规章和持续推进机构职能调整等原因发生变化不宜列入清单的事项，应从清单中减去。规范清单动态调整程序。</w:t>
            </w:r>
          </w:p>
        </w:tc>
        <w:tc>
          <w:tcPr>
            <w:tcW w:w="1984" w:type="dxa"/>
            <w:noWrap w:val="0"/>
            <w:vAlign w:val="center"/>
          </w:tcPr>
          <w:p>
            <w:pPr>
              <w:spacing w:line="240" w:lineRule="exact"/>
              <w:rPr>
                <w:rFonts w:hint="eastAsia" w:ascii="宋体" w:hAnsi="宋体" w:eastAsia="宋体"/>
                <w:bCs/>
                <w:sz w:val="18"/>
                <w:szCs w:val="18"/>
                <w:lang w:eastAsia="zh-CN"/>
              </w:rPr>
            </w:pPr>
            <w:r>
              <w:rPr>
                <w:rFonts w:hint="eastAsia" w:ascii="宋体" w:hAnsi="宋体"/>
                <w:bCs/>
                <w:sz w:val="18"/>
                <w:szCs w:val="18"/>
              </w:rPr>
              <w:t>县委编办、县司法局牵头，县直有关部门（单位）、乡镇（街道）</w:t>
            </w:r>
            <w:r>
              <w:rPr>
                <w:rFonts w:hint="eastAsia" w:ascii="宋体" w:hAnsi="宋体"/>
                <w:bCs/>
                <w:sz w:val="18"/>
                <w:szCs w:val="18"/>
                <w:lang w:eastAsia="zh-CN"/>
              </w:rPr>
              <w:t>配合</w:t>
            </w:r>
          </w:p>
        </w:tc>
        <w:tc>
          <w:tcPr>
            <w:tcW w:w="2024"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trPr>
        <w:tc>
          <w:tcPr>
            <w:tcW w:w="748" w:type="dxa"/>
            <w:noWrap w:val="0"/>
            <w:vAlign w:val="center"/>
          </w:tcPr>
          <w:p>
            <w:pPr>
              <w:spacing w:line="240" w:lineRule="exact"/>
              <w:jc w:val="center"/>
              <w:rPr>
                <w:rFonts w:ascii="仿宋_GB2312" w:hAnsi="宋体" w:eastAsia="仿宋_GB2312"/>
                <w:bCs/>
                <w:sz w:val="18"/>
                <w:szCs w:val="18"/>
              </w:rPr>
            </w:pPr>
            <w:r>
              <w:rPr>
                <w:rFonts w:hint="eastAsia" w:ascii="仿宋_GB2312" w:hAnsi="宋体" w:eastAsia="仿宋_GB2312"/>
                <w:bCs/>
                <w:sz w:val="18"/>
                <w:szCs w:val="18"/>
              </w:rPr>
              <w:t>3</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县级职能部门和乡镇（街道）已按清单所列职责分工及有关工作流程勤勉尽责、但仍具有问责情形的，可酌情从轻、减轻处理或予以免责。</w:t>
            </w:r>
          </w:p>
        </w:tc>
        <w:tc>
          <w:tcPr>
            <w:tcW w:w="1984" w:type="dxa"/>
            <w:noWrap w:val="0"/>
            <w:vAlign w:val="center"/>
          </w:tcPr>
          <w:p>
            <w:pPr>
              <w:spacing w:line="240" w:lineRule="exact"/>
              <w:rPr>
                <w:rFonts w:hint="eastAsia" w:ascii="宋体" w:hAnsi="宋体"/>
                <w:bCs/>
                <w:sz w:val="18"/>
                <w:szCs w:val="18"/>
              </w:rPr>
            </w:pPr>
            <w:r>
              <w:rPr>
                <w:rFonts w:hint="eastAsia" w:ascii="宋体" w:hAnsi="宋体"/>
                <w:bCs/>
                <w:sz w:val="18"/>
                <w:szCs w:val="18"/>
              </w:rPr>
              <w:t>县纪委监委牵头，县直有关部门（单位）、乡镇（街道）配合</w:t>
            </w:r>
          </w:p>
        </w:tc>
        <w:tc>
          <w:tcPr>
            <w:tcW w:w="2024"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7" w:hRule="atLeast"/>
        </w:trPr>
        <w:tc>
          <w:tcPr>
            <w:tcW w:w="748" w:type="dxa"/>
            <w:noWrap w:val="0"/>
            <w:vAlign w:val="center"/>
          </w:tcPr>
          <w:p>
            <w:pPr>
              <w:spacing w:line="240" w:lineRule="exact"/>
              <w:jc w:val="center"/>
              <w:rPr>
                <w:rFonts w:ascii="仿宋_GB2312" w:hAnsi="宋体" w:eastAsia="仿宋_GB2312"/>
                <w:bCs/>
                <w:sz w:val="18"/>
                <w:szCs w:val="18"/>
              </w:rPr>
            </w:pPr>
            <w:r>
              <w:rPr>
                <w:rFonts w:hint="eastAsia" w:ascii="仿宋_GB2312" w:hAnsi="宋体" w:eastAsia="仿宋_GB2312"/>
                <w:bCs/>
                <w:sz w:val="18"/>
                <w:szCs w:val="18"/>
              </w:rPr>
              <w:t>4</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全面实行“乡呼县应、上下联动”，赋予乡镇（街道）对辖区需县级职能部门解决事项的协调权。建立“响应”平台，完善“呼叫”“响应”工作机制等。</w:t>
            </w:r>
          </w:p>
        </w:tc>
        <w:tc>
          <w:tcPr>
            <w:tcW w:w="1984" w:type="dxa"/>
            <w:noWrap w:val="0"/>
            <w:vAlign w:val="center"/>
          </w:tcPr>
          <w:p>
            <w:pPr>
              <w:spacing w:line="240" w:lineRule="exact"/>
              <w:rPr>
                <w:rFonts w:hint="eastAsia" w:ascii="宋体" w:hAnsi="宋体"/>
                <w:bCs/>
                <w:sz w:val="18"/>
                <w:szCs w:val="18"/>
              </w:rPr>
            </w:pPr>
            <w:r>
              <w:rPr>
                <w:rFonts w:hint="eastAsia" w:ascii="宋体" w:hAnsi="宋体"/>
                <w:bCs/>
                <w:sz w:val="18"/>
                <w:szCs w:val="18"/>
              </w:rPr>
              <w:t>县委办公室、县政府办公室牵头，乡镇（街道）配合</w:t>
            </w:r>
          </w:p>
        </w:tc>
        <w:tc>
          <w:tcPr>
            <w:tcW w:w="2024"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1" w:hRule="atLeast"/>
        </w:trPr>
        <w:tc>
          <w:tcPr>
            <w:tcW w:w="748" w:type="dxa"/>
            <w:noWrap w:val="0"/>
            <w:vAlign w:val="center"/>
          </w:tcPr>
          <w:p>
            <w:pPr>
              <w:spacing w:line="240" w:lineRule="exact"/>
              <w:jc w:val="center"/>
              <w:rPr>
                <w:rFonts w:ascii="仿宋_GB2312" w:hAnsi="宋体" w:eastAsia="仿宋_GB2312"/>
                <w:bCs/>
                <w:sz w:val="18"/>
                <w:szCs w:val="18"/>
              </w:rPr>
            </w:pPr>
            <w:r>
              <w:rPr>
                <w:rFonts w:hint="eastAsia" w:ascii="仿宋_GB2312" w:hAnsi="宋体" w:eastAsia="仿宋_GB2312"/>
                <w:bCs/>
                <w:sz w:val="18"/>
                <w:szCs w:val="18"/>
              </w:rPr>
              <w:t>5</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强化乡镇（街道）对县级职能部门的评价力度，乡镇（街道）对部门的评价结果，一般应占被考核部门绩效权重的三分之一左右。</w:t>
            </w:r>
          </w:p>
        </w:tc>
        <w:tc>
          <w:tcPr>
            <w:tcW w:w="1984" w:type="dxa"/>
            <w:noWrap w:val="0"/>
            <w:vAlign w:val="center"/>
          </w:tcPr>
          <w:p>
            <w:pPr>
              <w:spacing w:line="240" w:lineRule="exact"/>
              <w:rPr>
                <w:rFonts w:hint="eastAsia" w:ascii="宋体" w:hAnsi="宋体"/>
                <w:bCs/>
                <w:sz w:val="18"/>
                <w:szCs w:val="18"/>
              </w:rPr>
            </w:pPr>
            <w:r>
              <w:rPr>
                <w:rFonts w:hint="eastAsia" w:ascii="宋体" w:hAnsi="宋体"/>
                <w:bCs/>
                <w:sz w:val="18"/>
                <w:szCs w:val="18"/>
              </w:rPr>
              <w:t>县委组织部牵头，乡镇（街道）配合</w:t>
            </w:r>
          </w:p>
        </w:tc>
        <w:tc>
          <w:tcPr>
            <w:tcW w:w="2024"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自2019年度起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6" w:hRule="atLeast"/>
        </w:trPr>
        <w:tc>
          <w:tcPr>
            <w:tcW w:w="748" w:type="dxa"/>
            <w:noWrap w:val="0"/>
            <w:vAlign w:val="center"/>
          </w:tcPr>
          <w:p>
            <w:pPr>
              <w:spacing w:line="240" w:lineRule="exact"/>
              <w:jc w:val="center"/>
              <w:rPr>
                <w:rFonts w:ascii="仿宋_GB2312" w:hAnsi="宋体" w:eastAsia="仿宋_GB2312"/>
                <w:bCs/>
                <w:sz w:val="18"/>
                <w:szCs w:val="18"/>
              </w:rPr>
            </w:pPr>
            <w:r>
              <w:rPr>
                <w:rFonts w:hint="eastAsia" w:ascii="仿宋_GB2312" w:hAnsi="宋体" w:eastAsia="仿宋_GB2312"/>
                <w:bCs/>
                <w:sz w:val="18"/>
                <w:szCs w:val="18"/>
              </w:rPr>
              <w:t>6</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加强乡镇（街道）对县级职能部门派驻机构统筹管理，完善对派驻机构主要负责人的任免和工作考核办法。</w:t>
            </w:r>
          </w:p>
        </w:tc>
        <w:tc>
          <w:tcPr>
            <w:tcW w:w="1984" w:type="dxa"/>
            <w:noWrap w:val="0"/>
            <w:vAlign w:val="center"/>
          </w:tcPr>
          <w:p>
            <w:pPr>
              <w:spacing w:line="240" w:lineRule="exact"/>
              <w:rPr>
                <w:rFonts w:hint="eastAsia" w:ascii="宋体" w:hAnsi="宋体"/>
                <w:bCs/>
                <w:sz w:val="18"/>
                <w:szCs w:val="18"/>
              </w:rPr>
            </w:pPr>
            <w:r>
              <w:rPr>
                <w:rFonts w:hint="eastAsia" w:ascii="宋体" w:hAnsi="宋体"/>
                <w:bCs/>
                <w:sz w:val="18"/>
                <w:szCs w:val="18"/>
              </w:rPr>
              <w:t>县委组织部牵头，乡镇（街道）配合</w:t>
            </w:r>
          </w:p>
        </w:tc>
        <w:tc>
          <w:tcPr>
            <w:tcW w:w="2024"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持续推进，考核自2019年度起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4" w:hRule="atLeast"/>
        </w:trPr>
        <w:tc>
          <w:tcPr>
            <w:tcW w:w="748" w:type="dxa"/>
            <w:noWrap w:val="0"/>
            <w:vAlign w:val="center"/>
          </w:tcPr>
          <w:p>
            <w:pPr>
              <w:spacing w:line="240" w:lineRule="exact"/>
              <w:jc w:val="center"/>
              <w:rPr>
                <w:rFonts w:ascii="仿宋_GB2312" w:hAnsi="宋体" w:eastAsia="仿宋_GB2312"/>
                <w:bCs/>
                <w:sz w:val="18"/>
                <w:szCs w:val="18"/>
              </w:rPr>
            </w:pPr>
            <w:r>
              <w:rPr>
                <w:rFonts w:hint="eastAsia" w:ascii="仿宋_GB2312" w:hAnsi="宋体" w:eastAsia="仿宋_GB2312"/>
                <w:bCs/>
                <w:sz w:val="18"/>
                <w:szCs w:val="18"/>
              </w:rPr>
              <w:t>7</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今后出台政策文件，内容涉及县乡共同承担责任的，要进行细化，明确主体责任和配合责任。</w:t>
            </w:r>
          </w:p>
        </w:tc>
        <w:tc>
          <w:tcPr>
            <w:tcW w:w="1984" w:type="dxa"/>
            <w:noWrap w:val="0"/>
            <w:vAlign w:val="center"/>
          </w:tcPr>
          <w:p>
            <w:pPr>
              <w:spacing w:line="240" w:lineRule="exact"/>
              <w:rPr>
                <w:rFonts w:hint="eastAsia" w:ascii="宋体" w:hAnsi="宋体"/>
                <w:bCs/>
                <w:sz w:val="18"/>
                <w:szCs w:val="18"/>
              </w:rPr>
            </w:pPr>
            <w:r>
              <w:rPr>
                <w:rFonts w:hint="eastAsia" w:ascii="宋体" w:hAnsi="宋体"/>
                <w:bCs/>
                <w:sz w:val="18"/>
                <w:szCs w:val="18"/>
              </w:rPr>
              <w:t>县委办公室、县政府办公室牵头，县直有关部门（单位）、乡镇（街道）配合</w:t>
            </w:r>
          </w:p>
        </w:tc>
        <w:tc>
          <w:tcPr>
            <w:tcW w:w="2024"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trPr>
        <w:tc>
          <w:tcPr>
            <w:tcW w:w="748" w:type="dxa"/>
            <w:noWrap w:val="0"/>
            <w:vAlign w:val="center"/>
          </w:tcPr>
          <w:p>
            <w:pPr>
              <w:spacing w:line="240" w:lineRule="exact"/>
              <w:jc w:val="center"/>
              <w:rPr>
                <w:rFonts w:ascii="仿宋_GB2312" w:hAnsi="宋体" w:eastAsia="仿宋_GB2312"/>
                <w:bCs/>
                <w:sz w:val="18"/>
                <w:szCs w:val="18"/>
              </w:rPr>
            </w:pPr>
            <w:r>
              <w:rPr>
                <w:rFonts w:hint="eastAsia" w:ascii="仿宋_GB2312" w:hAnsi="宋体" w:eastAsia="仿宋_GB2312"/>
                <w:bCs/>
                <w:sz w:val="18"/>
                <w:szCs w:val="18"/>
              </w:rPr>
              <w:t>8</w:t>
            </w:r>
          </w:p>
        </w:tc>
        <w:tc>
          <w:tcPr>
            <w:tcW w:w="4308" w:type="dxa"/>
            <w:noWrap w:val="0"/>
            <w:vAlign w:val="center"/>
          </w:tcPr>
          <w:p>
            <w:pPr>
              <w:spacing w:line="240" w:lineRule="exact"/>
              <w:rPr>
                <w:rFonts w:hint="eastAsia" w:ascii="宋体" w:hAnsi="宋体"/>
                <w:bCs/>
                <w:sz w:val="18"/>
                <w:szCs w:val="18"/>
              </w:rPr>
            </w:pPr>
            <w:r>
              <w:rPr>
                <w:rFonts w:hint="eastAsia" w:ascii="宋体" w:hAnsi="宋体"/>
                <w:bCs/>
                <w:sz w:val="18"/>
                <w:szCs w:val="18"/>
              </w:rPr>
              <w:t>将清单落实情况纳入县巡察、审计监督重要内容，对落实到位、积极作为的部门、乡镇（街道）通报表扬；对不担当不作为、落实不力、贻误工作的督促整改，涉嫌违规违纪违法的，对有关责任人严肃问责。</w:t>
            </w:r>
          </w:p>
        </w:tc>
        <w:tc>
          <w:tcPr>
            <w:tcW w:w="1984" w:type="dxa"/>
            <w:noWrap w:val="0"/>
            <w:vAlign w:val="center"/>
          </w:tcPr>
          <w:p>
            <w:pPr>
              <w:spacing w:line="240" w:lineRule="exact"/>
              <w:rPr>
                <w:rFonts w:ascii="宋体" w:hAnsi="宋体"/>
                <w:bCs/>
                <w:sz w:val="18"/>
                <w:szCs w:val="18"/>
              </w:rPr>
            </w:pPr>
            <w:r>
              <w:rPr>
                <w:rFonts w:hint="eastAsia" w:ascii="宋体" w:hAnsi="宋体"/>
                <w:bCs/>
                <w:sz w:val="18"/>
                <w:szCs w:val="18"/>
              </w:rPr>
              <w:t>县委巡察办、县审计局和县纪委监委牵头，县委办公室、县政府办公室配合</w:t>
            </w:r>
          </w:p>
        </w:tc>
        <w:tc>
          <w:tcPr>
            <w:tcW w:w="2024" w:type="dxa"/>
            <w:noWrap w:val="0"/>
            <w:vAlign w:val="center"/>
          </w:tcPr>
          <w:p>
            <w:pPr>
              <w:spacing w:line="240" w:lineRule="exact"/>
              <w:rPr>
                <w:rFonts w:hint="eastAsia" w:ascii="宋体" w:hAnsi="宋体"/>
                <w:bCs/>
                <w:sz w:val="18"/>
                <w:szCs w:val="18"/>
              </w:rPr>
            </w:pPr>
            <w:r>
              <w:rPr>
                <w:rFonts w:hint="eastAsia" w:ascii="宋体" w:hAnsi="宋体"/>
                <w:bCs/>
                <w:sz w:val="18"/>
                <w:szCs w:val="18"/>
              </w:rPr>
              <w:t>持续推进，按年度计划安排的工作自2019年度起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YWY1YTc0ODY1MzAyZGIyZDllNzE4OThhNzIzMzAifQ=="/>
  </w:docVars>
  <w:rsids>
    <w:rsidRoot w:val="46A9357A"/>
    <w:rsid w:val="46A93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2024-07-04T09:58:00Z</dcterms:created>
  <dc:creator>希望</dc:creator>
  <cp:lastModifiedBy>希望</cp:lastModifiedBy>
  <dcterms:modified xsi:type="dcterms:W3CDTF">2024-07-04T09:58:13Z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C4EBC60E7B484BF3B0D97B3ECFE02AAA_11</vt:lpwstr>
  </property>
</Properties>
</file>