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6A29E">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关于曹县</w:t>
      </w:r>
      <w:r>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t>2023</w:t>
      </w: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年</w:t>
      </w:r>
    </w:p>
    <w:p w14:paraId="579001EF">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国民经济和社会发展计划执行情况</w:t>
      </w:r>
    </w:p>
    <w:p w14:paraId="4A9DEB28">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与</w:t>
      </w:r>
      <w:r>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t>2024</w:t>
      </w: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年计划（草案）的报告</w:t>
      </w:r>
    </w:p>
    <w:p w14:paraId="38DA2138">
      <w:pPr>
        <w:keepNext w:val="0"/>
        <w:keepLines w:val="0"/>
        <w:pageBreakBefore w:val="0"/>
        <w:widowControl w:val="0"/>
        <w:kinsoku/>
        <w:wordWrap/>
        <w:overflowPunct w:val="0"/>
        <w:topLinePunct w:val="0"/>
        <w:autoSpaceDE/>
        <w:autoSpaceDN/>
        <w:bidi w:val="0"/>
        <w:snapToGrid w:val="0"/>
        <w:spacing w:line="600" w:lineRule="exact"/>
        <w:ind w:left="0" w:leftChars="0" w:firstLine="0" w:firstLineChars="0"/>
        <w:jc w:val="center"/>
        <w:textAlignment w:val="auto"/>
        <w:rPr>
          <w:rFonts w:hint="eastAsia" w:ascii="楷体_GB2312" w:hAnsi="楷体_GB2312" w:eastAsia="楷体_GB2312" w:cs="楷体_GB2312"/>
          <w:b/>
          <w:bCs/>
          <w:color w:val="000000" w:themeColor="text1"/>
          <w:spacing w:val="-6"/>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pacing w:val="-6"/>
          <w:sz w:val="32"/>
          <w:szCs w:val="32"/>
          <w14:textFill>
            <w14:solidFill>
              <w14:schemeClr w14:val="tx1"/>
            </w14:solidFill>
          </w14:textFill>
        </w:rPr>
        <w:t>20</w:t>
      </w:r>
      <w:r>
        <w:rPr>
          <w:rFonts w:hint="eastAsia" w:ascii="楷体_GB2312" w:hAnsi="楷体_GB2312" w:eastAsia="楷体_GB2312" w:cs="楷体_GB2312"/>
          <w:b/>
          <w:bCs/>
          <w:color w:val="000000" w:themeColor="text1"/>
          <w:spacing w:val="-6"/>
          <w:sz w:val="32"/>
          <w:szCs w:val="32"/>
          <w:lang w:val="en-US" w:eastAsia="zh-CN"/>
          <w14:textFill>
            <w14:solidFill>
              <w14:schemeClr w14:val="tx1"/>
            </w14:solidFill>
          </w14:textFill>
        </w:rPr>
        <w:t>24</w:t>
      </w:r>
      <w:r>
        <w:rPr>
          <w:rFonts w:hint="eastAsia" w:ascii="楷体_GB2312" w:hAnsi="楷体_GB2312" w:eastAsia="楷体_GB2312" w:cs="楷体_GB2312"/>
          <w:b/>
          <w:bCs/>
          <w:color w:val="000000" w:themeColor="text1"/>
          <w:spacing w:val="-6"/>
          <w:sz w:val="32"/>
          <w:szCs w:val="32"/>
          <w14:textFill>
            <w14:solidFill>
              <w14:schemeClr w14:val="tx1"/>
            </w14:solidFill>
          </w14:textFill>
        </w:rPr>
        <w:t>年</w:t>
      </w:r>
      <w:r>
        <w:rPr>
          <w:rFonts w:hint="eastAsia" w:ascii="楷体_GB2312" w:hAnsi="楷体_GB2312" w:eastAsia="楷体_GB2312" w:cs="楷体_GB2312"/>
          <w:b/>
          <w:bCs/>
          <w:color w:val="000000" w:themeColor="text1"/>
          <w:spacing w:val="-6"/>
          <w:sz w:val="32"/>
          <w:szCs w:val="32"/>
          <w:lang w:val="en-US" w:eastAsia="zh-CN"/>
          <w14:textFill>
            <w14:solidFill>
              <w14:schemeClr w14:val="tx1"/>
            </w14:solidFill>
          </w14:textFill>
        </w:rPr>
        <w:t>1</w:t>
      </w:r>
      <w:r>
        <w:rPr>
          <w:rFonts w:hint="eastAsia" w:ascii="楷体_GB2312" w:hAnsi="楷体_GB2312" w:eastAsia="楷体_GB2312" w:cs="楷体_GB2312"/>
          <w:b/>
          <w:bCs/>
          <w:color w:val="000000" w:themeColor="text1"/>
          <w:spacing w:val="-6"/>
          <w:sz w:val="32"/>
          <w:szCs w:val="32"/>
          <w14:textFill>
            <w14:solidFill>
              <w14:schemeClr w14:val="tx1"/>
            </w14:solidFill>
          </w14:textFill>
        </w:rPr>
        <w:t>月</w:t>
      </w:r>
      <w:r>
        <w:rPr>
          <w:rFonts w:hint="eastAsia" w:ascii="楷体_GB2312" w:hAnsi="楷体_GB2312" w:eastAsia="楷体_GB2312" w:cs="楷体_GB2312"/>
          <w:b/>
          <w:bCs/>
          <w:color w:val="000000" w:themeColor="text1"/>
          <w:spacing w:val="-6"/>
          <w:sz w:val="32"/>
          <w:szCs w:val="32"/>
          <w:lang w:val="en-US" w:eastAsia="zh-CN"/>
          <w14:textFill>
            <w14:solidFill>
              <w14:schemeClr w14:val="tx1"/>
            </w14:solidFill>
          </w14:textFill>
        </w:rPr>
        <w:t>16</w:t>
      </w:r>
      <w:r>
        <w:rPr>
          <w:rFonts w:hint="eastAsia" w:ascii="楷体_GB2312" w:hAnsi="楷体_GB2312" w:eastAsia="楷体_GB2312" w:cs="楷体_GB2312"/>
          <w:b/>
          <w:bCs/>
          <w:color w:val="000000" w:themeColor="text1"/>
          <w:spacing w:val="-6"/>
          <w:sz w:val="32"/>
          <w:szCs w:val="32"/>
          <w14:textFill>
            <w14:solidFill>
              <w14:schemeClr w14:val="tx1"/>
            </w14:solidFill>
          </w14:textFill>
        </w:rPr>
        <w:t>日在曹县第</w:t>
      </w:r>
      <w:r>
        <w:rPr>
          <w:rFonts w:hint="eastAsia" w:ascii="楷体_GB2312" w:hAnsi="楷体_GB2312" w:eastAsia="楷体_GB2312" w:cs="楷体_GB2312"/>
          <w:b/>
          <w:bCs/>
          <w:color w:val="000000" w:themeColor="text1"/>
          <w:spacing w:val="-6"/>
          <w:sz w:val="32"/>
          <w:szCs w:val="32"/>
          <w:lang w:val="en-US" w:eastAsia="zh-CN"/>
          <w14:textFill>
            <w14:solidFill>
              <w14:schemeClr w14:val="tx1"/>
            </w14:solidFill>
          </w14:textFill>
        </w:rPr>
        <w:t>十八</w:t>
      </w:r>
      <w:r>
        <w:rPr>
          <w:rFonts w:hint="eastAsia" w:ascii="楷体_GB2312" w:hAnsi="楷体_GB2312" w:eastAsia="楷体_GB2312" w:cs="楷体_GB2312"/>
          <w:b/>
          <w:bCs/>
          <w:color w:val="000000" w:themeColor="text1"/>
          <w:spacing w:val="-6"/>
          <w:sz w:val="32"/>
          <w:szCs w:val="32"/>
          <w14:textFill>
            <w14:solidFill>
              <w14:schemeClr w14:val="tx1"/>
            </w14:solidFill>
          </w14:textFill>
        </w:rPr>
        <w:t>届人民代表大会</w:t>
      </w:r>
    </w:p>
    <w:p w14:paraId="3A2E87A9">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0" w:firstLineChars="0"/>
        <w:jc w:val="center"/>
        <w:textAlignment w:val="auto"/>
        <w:rPr>
          <w:rFonts w:hint="eastAsia" w:ascii="楷体_GB2312" w:hAnsi="楷体_GB2312" w:eastAsia="楷体_GB2312" w:cs="楷体_GB2312"/>
          <w:b/>
          <w:bCs/>
          <w:color w:val="000000" w:themeColor="text1"/>
          <w:spacing w:val="-6"/>
          <w:sz w:val="32"/>
          <w:szCs w:val="32"/>
          <w14:textFill>
            <w14:solidFill>
              <w14:schemeClr w14:val="tx1"/>
            </w14:solidFill>
          </w14:textFill>
        </w:rPr>
      </w:pPr>
      <w:r>
        <w:rPr>
          <w:rFonts w:hint="eastAsia" w:ascii="楷体_GB2312" w:hAnsi="楷体_GB2312" w:eastAsia="楷体_GB2312" w:cs="楷体_GB2312"/>
          <w:b/>
          <w:bCs/>
          <w:color w:val="000000" w:themeColor="text1"/>
          <w:spacing w:val="-6"/>
          <w:sz w:val="32"/>
          <w:szCs w:val="32"/>
          <w14:textFill>
            <w14:solidFill>
              <w14:schemeClr w14:val="tx1"/>
            </w14:solidFill>
          </w14:textFill>
        </w:rPr>
        <w:t>第</w:t>
      </w:r>
      <w:r>
        <w:rPr>
          <w:rFonts w:hint="eastAsia" w:ascii="楷体_GB2312" w:hAnsi="楷体_GB2312" w:eastAsia="楷体_GB2312" w:cs="楷体_GB2312"/>
          <w:b/>
          <w:bCs/>
          <w:color w:val="000000" w:themeColor="text1"/>
          <w:spacing w:val="-6"/>
          <w:sz w:val="32"/>
          <w:szCs w:val="32"/>
          <w:lang w:val="en-US" w:eastAsia="zh-CN"/>
          <w14:textFill>
            <w14:solidFill>
              <w14:schemeClr w14:val="tx1"/>
            </w14:solidFill>
          </w14:textFill>
        </w:rPr>
        <w:t>三</w:t>
      </w:r>
      <w:r>
        <w:rPr>
          <w:rFonts w:hint="eastAsia" w:ascii="楷体_GB2312" w:hAnsi="楷体_GB2312" w:eastAsia="楷体_GB2312" w:cs="楷体_GB2312"/>
          <w:b/>
          <w:bCs/>
          <w:color w:val="000000" w:themeColor="text1"/>
          <w:spacing w:val="-6"/>
          <w:sz w:val="32"/>
          <w:szCs w:val="32"/>
          <w14:textFill>
            <w14:solidFill>
              <w14:schemeClr w14:val="tx1"/>
            </w14:solidFill>
          </w14:textFill>
        </w:rPr>
        <w:t>次会议上</w:t>
      </w:r>
    </w:p>
    <w:p w14:paraId="5EB7ACDD">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0" w:firstLineChars="0"/>
        <w:jc w:val="center"/>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曹</w:t>
      </w:r>
      <w:r>
        <w:rPr>
          <w:rFonts w:hint="eastAsia" w:ascii="楷体_GB2312" w:hAnsi="楷体_GB2312" w:eastAsia="楷体_GB2312" w:cs="楷体_GB2312"/>
          <w:b/>
          <w:bCs/>
          <w:color w:val="000000" w:themeColor="text1"/>
          <w:sz w:val="32"/>
          <w:szCs w:val="32"/>
          <w14:textFill>
            <w14:solidFill>
              <w14:schemeClr w14:val="tx1"/>
            </w14:solidFill>
          </w14:textFill>
        </w:rPr>
        <w:t>县发展和改革局局长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伊国栋</w:t>
      </w:r>
    </w:p>
    <w:p w14:paraId="589F23E2">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1F92E0D6">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各位代表：</w:t>
      </w:r>
    </w:p>
    <w:p w14:paraId="1312D7B3">
      <w:pPr>
        <w:pStyle w:val="9"/>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600" w:lineRule="exact"/>
        <w:ind w:left="0" w:leftChars="0" w:right="0" w:firstLine="643" w:firstLineChars="200"/>
        <w:jc w:val="both"/>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我受县政府委托，向大会报告曹县</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2023</w:t>
      </w:r>
      <w:r>
        <w:rPr>
          <w:rFonts w:hint="eastAsia" w:ascii="仿宋_GB2312" w:hAnsi="仿宋_GB2312" w:eastAsia="仿宋_GB2312" w:cs="仿宋_GB2312"/>
          <w:b/>
          <w:bCs/>
          <w:color w:val="000000" w:themeColor="text1"/>
          <w:kern w:val="0"/>
          <w:sz w:val="32"/>
          <w:szCs w:val="32"/>
          <w14:textFill>
            <w14:solidFill>
              <w14:schemeClr w14:val="tx1"/>
            </w14:solidFill>
          </w14:textFill>
        </w:rPr>
        <w:t>年国民经济和社会发展计划执行情况与</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2024</w:t>
      </w:r>
      <w:r>
        <w:rPr>
          <w:rFonts w:hint="eastAsia" w:ascii="仿宋_GB2312" w:hAnsi="仿宋_GB2312" w:eastAsia="仿宋_GB2312" w:cs="仿宋_GB2312"/>
          <w:b/>
          <w:bCs/>
          <w:color w:val="000000" w:themeColor="text1"/>
          <w:kern w:val="0"/>
          <w:sz w:val="32"/>
          <w:szCs w:val="32"/>
          <w14:textFill>
            <w14:solidFill>
              <w14:schemeClr w14:val="tx1"/>
            </w14:solidFill>
          </w14:textFill>
        </w:rPr>
        <w:t>年计划（草案）安排意见</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请予审议，并请县政协委员和列席会议的同志提出意见。</w:t>
      </w:r>
    </w:p>
    <w:p w14:paraId="1E341F11">
      <w:pPr>
        <w:pStyle w:val="9"/>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14:textFill>
            <w14:solidFill>
              <w14:schemeClr w14:val="tx1"/>
            </w14:solidFill>
          </w14:textFill>
        </w:rPr>
        <w:t>一、202</w:t>
      </w:r>
      <w:r>
        <w:rPr>
          <w:rFonts w:hint="eastAsia" w:ascii="黑体" w:hAnsi="黑体" w:eastAsia="黑体" w:cs="黑体"/>
          <w:b/>
          <w:bCs/>
          <w:color w:val="000000" w:themeColor="text1"/>
          <w:kern w:val="0"/>
          <w:sz w:val="32"/>
          <w:szCs w:val="32"/>
          <w:lang w:val="en-US" w:eastAsia="zh-CN"/>
          <w14:textFill>
            <w14:solidFill>
              <w14:schemeClr w14:val="tx1"/>
            </w14:solidFill>
          </w14:textFill>
        </w:rPr>
        <w:t>3</w:t>
      </w:r>
      <w:r>
        <w:rPr>
          <w:rFonts w:hint="eastAsia" w:ascii="黑体" w:hAnsi="黑体" w:eastAsia="黑体" w:cs="黑体"/>
          <w:b/>
          <w:bCs/>
          <w:color w:val="000000" w:themeColor="text1"/>
          <w:kern w:val="0"/>
          <w:sz w:val="32"/>
          <w:szCs w:val="32"/>
          <w14:textFill>
            <w14:solidFill>
              <w14:schemeClr w14:val="tx1"/>
            </w14:solidFill>
          </w14:textFill>
        </w:rPr>
        <w:t>年国民经济和社会发展计划执行情况</w:t>
      </w:r>
    </w:p>
    <w:p w14:paraId="0FB60380">
      <w:pPr>
        <w:pStyle w:val="9"/>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600" w:lineRule="exact"/>
        <w:ind w:right="0" w:firstLine="643" w:firstLineChars="200"/>
        <w:jc w:val="both"/>
        <w:textAlignment w:val="auto"/>
        <w:rPr>
          <w:rFonts w:hint="default"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2023年，是全面贯彻落实党的二十大精神的开局之年。</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全县上下在</w:t>
      </w:r>
      <w:r>
        <w:rPr>
          <w:rFonts w:hint="eastAsia" w:ascii="仿宋_GB2312" w:hAnsi="仿宋_GB2312" w:eastAsia="仿宋_GB2312" w:cs="仿宋_GB2312"/>
          <w:b/>
          <w:bCs/>
          <w:color w:val="000000" w:themeColor="text1"/>
          <w:kern w:val="0"/>
          <w:sz w:val="32"/>
          <w:szCs w:val="32"/>
          <w14:textFill>
            <w14:solidFill>
              <w14:schemeClr w14:val="tx1"/>
            </w14:solidFill>
          </w14:textFill>
        </w:rPr>
        <w:t>县委、县政府</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的坚强领导下</w:t>
      </w:r>
      <w:r>
        <w:rPr>
          <w:rFonts w:hint="eastAsia" w:ascii="仿宋_GB2312" w:hAnsi="仿宋_GB2312" w:eastAsia="仿宋_GB2312" w:cs="仿宋_GB2312"/>
          <w:b/>
          <w:bCs/>
          <w:color w:val="000000" w:themeColor="text1"/>
          <w:kern w:val="0"/>
          <w:sz w:val="32"/>
          <w:szCs w:val="32"/>
          <w14:textFill>
            <w14:solidFill>
              <w14:schemeClr w14:val="tx1"/>
            </w14:solidFill>
          </w14:textFill>
        </w:rPr>
        <w:t>，</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坚持以习近平新时代中国特色社会主义思想为指导，深入贯彻学习党的二十大精神，</w:t>
      </w:r>
      <w:r>
        <w:rPr>
          <w:rFonts w:hint="eastAsia" w:ascii="仿宋_GB2312" w:hAnsi="仿宋_GB2312" w:eastAsia="仿宋_GB2312" w:cs="仿宋_GB2312"/>
          <w:b/>
          <w:color w:val="000000" w:themeColor="text1"/>
          <w:kern w:val="0"/>
          <w:sz w:val="32"/>
          <w:szCs w:val="32"/>
          <w14:textFill>
            <w14:solidFill>
              <w14:schemeClr w14:val="tx1"/>
            </w14:solidFill>
          </w14:textFill>
        </w:rPr>
        <w:t>扎实苦干、奋勇争先，</w:t>
      </w:r>
      <w:r>
        <w:rPr>
          <w:rFonts w:hint="eastAsia" w:ascii="仿宋_GB2312" w:hAnsi="仿宋_GB2312" w:eastAsia="仿宋_GB2312" w:cs="仿宋_GB2312"/>
          <w:b/>
          <w:bCs/>
          <w:color w:val="000000" w:themeColor="text1"/>
          <w:spacing w:val="0"/>
          <w:kern w:val="0"/>
          <w:sz w:val="32"/>
          <w:szCs w:val="32"/>
          <w14:textFill>
            <w14:solidFill>
              <w14:schemeClr w14:val="tx1"/>
            </w14:solidFill>
          </w14:textFill>
        </w:rPr>
        <w:t>全</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县</w:t>
      </w:r>
      <w:r>
        <w:rPr>
          <w:rFonts w:hint="eastAsia" w:ascii="仿宋_GB2312" w:hAnsi="仿宋_GB2312" w:eastAsia="仿宋_GB2312" w:cs="仿宋_GB2312"/>
          <w:b/>
          <w:bCs/>
          <w:color w:val="000000" w:themeColor="text1"/>
          <w:spacing w:val="0"/>
          <w:kern w:val="0"/>
          <w:sz w:val="32"/>
          <w:szCs w:val="32"/>
          <w14:textFill>
            <w14:solidFill>
              <w14:schemeClr w14:val="tx1"/>
            </w14:solidFill>
          </w14:textFill>
        </w:rPr>
        <w:t>经济</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社会保持高质量发展的良好态势</w:t>
      </w:r>
      <w:r>
        <w:rPr>
          <w:rFonts w:hint="eastAsia" w:ascii="仿宋_GB2312" w:hAnsi="仿宋_GB2312" w:eastAsia="仿宋_GB2312" w:cs="仿宋_GB2312"/>
          <w:b/>
          <w:bCs/>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预计</w:t>
      </w:r>
      <w:r>
        <w:rPr>
          <w:rFonts w:hint="eastAsia" w:ascii="仿宋_GB2312" w:hAnsi="仿宋_GB2312" w:eastAsia="仿宋_GB2312" w:cs="仿宋_GB2312"/>
          <w:b/>
          <w:bCs/>
          <w:color w:val="000000" w:themeColor="text1"/>
          <w:spacing w:val="0"/>
          <w:kern w:val="0"/>
          <w:sz w:val="32"/>
          <w:szCs w:val="32"/>
          <w14:textFill>
            <w14:solidFill>
              <w14:schemeClr w14:val="tx1"/>
            </w14:solidFill>
          </w14:textFill>
        </w:rPr>
        <w:t>实现地区生产总值</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583</w:t>
      </w:r>
      <w:r>
        <w:rPr>
          <w:rFonts w:hint="eastAsia" w:ascii="仿宋_GB2312" w:hAnsi="仿宋_GB2312" w:eastAsia="仿宋_GB2312" w:cs="仿宋_GB2312"/>
          <w:b/>
          <w:bCs/>
          <w:color w:val="000000" w:themeColor="text1"/>
          <w:spacing w:val="0"/>
          <w:kern w:val="0"/>
          <w:sz w:val="32"/>
          <w:szCs w:val="32"/>
          <w14:textFill>
            <w14:solidFill>
              <w14:schemeClr w14:val="tx1"/>
            </w14:solidFill>
          </w14:textFill>
        </w:rPr>
        <w:t>亿元，同比增长</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6.8</w:t>
      </w:r>
      <w:r>
        <w:rPr>
          <w:rFonts w:hint="eastAsia" w:ascii="仿宋_GB2312" w:hAnsi="仿宋_GB2312" w:eastAsia="仿宋_GB2312" w:cs="仿宋_GB2312"/>
          <w:b/>
          <w:bCs/>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一般</w:t>
      </w:r>
      <w:r>
        <w:rPr>
          <w:rFonts w:hint="eastAsia" w:ascii="仿宋_GB2312" w:hAnsi="仿宋_GB2312" w:eastAsia="仿宋_GB2312" w:cs="仿宋_GB2312"/>
          <w:b/>
          <w:bCs/>
          <w:color w:val="000000" w:themeColor="text1"/>
          <w:spacing w:val="0"/>
          <w:kern w:val="0"/>
          <w:sz w:val="32"/>
          <w:szCs w:val="32"/>
          <w14:textFill>
            <w14:solidFill>
              <w14:schemeClr w14:val="tx1"/>
            </w14:solidFill>
          </w14:textFill>
        </w:rPr>
        <w:t>公共预算收入</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完成27.7</w:t>
      </w:r>
      <w:r>
        <w:rPr>
          <w:rFonts w:hint="eastAsia" w:ascii="仿宋_GB2312" w:hAnsi="仿宋_GB2312" w:eastAsia="仿宋_GB2312" w:cs="仿宋_GB2312"/>
          <w:b/>
          <w:bCs/>
          <w:color w:val="000000" w:themeColor="text1"/>
          <w:spacing w:val="0"/>
          <w:kern w:val="0"/>
          <w:sz w:val="32"/>
          <w:szCs w:val="32"/>
          <w14:textFill>
            <w14:solidFill>
              <w14:schemeClr w14:val="tx1"/>
            </w14:solidFill>
          </w14:textFill>
        </w:rPr>
        <w:t>亿元，增长</w:t>
      </w: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6.5</w:t>
      </w:r>
      <w:r>
        <w:rPr>
          <w:rFonts w:hint="eastAsia" w:ascii="仿宋_GB2312" w:hAnsi="仿宋_GB2312" w:eastAsia="仿宋_GB2312" w:cs="仿宋_GB2312"/>
          <w:b/>
          <w:bCs/>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b/>
          <w:bCs/>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完成</w:t>
      </w:r>
      <w:r>
        <w:rPr>
          <w:rFonts w:hint="eastAsia" w:ascii="仿宋_GB2312" w:hAnsi="仿宋_GB2312" w:eastAsia="仿宋_GB2312" w:cs="仿宋_GB2312"/>
          <w:b/>
          <w:bCs/>
          <w:color w:val="000000" w:themeColor="text1"/>
          <w:kern w:val="0"/>
          <w:sz w:val="32"/>
          <w:szCs w:val="32"/>
          <w14:textFill>
            <w14:solidFill>
              <w14:schemeClr w14:val="tx1"/>
            </w14:solidFill>
          </w14:textFill>
        </w:rPr>
        <w:t>固定资产投资</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228</w:t>
      </w:r>
      <w:r>
        <w:rPr>
          <w:rFonts w:hint="eastAsia" w:ascii="仿宋_GB2312" w:hAnsi="仿宋_GB2312" w:eastAsia="仿宋_GB2312" w:cs="仿宋_GB2312"/>
          <w:b/>
          <w:bCs/>
          <w:color w:val="000000" w:themeColor="text1"/>
          <w:kern w:val="0"/>
          <w:sz w:val="32"/>
          <w:szCs w:val="32"/>
          <w14:textFill>
            <w14:solidFill>
              <w14:schemeClr w14:val="tx1"/>
            </w14:solidFill>
          </w14:textFill>
        </w:rPr>
        <w:t>亿元，增长</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8.8</w:t>
      </w:r>
      <w:r>
        <w:rPr>
          <w:rFonts w:hint="eastAsia" w:ascii="仿宋_GB2312" w:hAnsi="仿宋_GB2312" w:eastAsia="仿宋_GB2312" w:cs="仿宋_GB2312"/>
          <w:b/>
          <w:bCs/>
          <w:color w:val="000000" w:themeColor="text1"/>
          <w:kern w:val="0"/>
          <w:sz w:val="32"/>
          <w:szCs w:val="32"/>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全体</w:t>
      </w: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居民人均可支配收入增长7.5%；金融机构各项存贷款余额分别达到804.5亿元、438.4亿元，分别新增91.6亿元、48亿元。</w:t>
      </w:r>
    </w:p>
    <w:p w14:paraId="53F39231">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3" w:firstLineChars="200"/>
        <w:jc w:val="both"/>
        <w:textAlignment w:val="auto"/>
        <w:rPr>
          <w:rFonts w:hint="default" w:ascii="仿宋_GB2312" w:hAnsi="仿宋_GB2312" w:eastAsia="仿宋_GB2312" w:cs="仿宋_GB2312"/>
          <w:b/>
          <w:bCs/>
          <w:color w:val="000000" w:themeColor="text1"/>
          <w:spacing w:val="0"/>
          <w:kern w:val="0"/>
          <w:sz w:val="32"/>
          <w:szCs w:val="32"/>
          <w:lang w:val="en-US" w:eastAsia="zh-CN" w:bidi="ar-SA"/>
          <w14:textFill>
            <w14:solidFill>
              <w14:schemeClr w14:val="tx1"/>
            </w14:solidFill>
          </w14:textFill>
        </w:rPr>
      </w:pPr>
      <w:r>
        <w:rPr>
          <w:rFonts w:hint="eastAsia" w:ascii="楷体_GB2312" w:eastAsia="楷体_GB2312"/>
          <w:b/>
          <w:bCs w:val="0"/>
          <w:color w:val="000000" w:themeColor="text1"/>
          <w:spacing w:val="0"/>
          <w:kern w:val="0"/>
          <w:sz w:val="32"/>
          <w:szCs w:val="32"/>
          <w:lang w:val="en-US" w:eastAsia="zh-CN"/>
          <w14:textFill>
            <w14:solidFill>
              <w14:schemeClr w14:val="tx1"/>
            </w14:solidFill>
          </w14:textFill>
        </w:rPr>
        <w:t>（一）重大战略部署稳步推进</w:t>
      </w:r>
      <w:r>
        <w:rPr>
          <w:rFonts w:hint="eastAsia" w:ascii="楷体_GB2312" w:eastAsia="楷体_GB2312"/>
          <w:b/>
          <w:bCs w:val="0"/>
          <w:color w:val="000000" w:themeColor="text1"/>
          <w:spacing w:val="0"/>
          <w:kern w:val="0"/>
          <w:sz w:val="32"/>
          <w:szCs w:val="32"/>
          <w:lang w:eastAsia="zh-CN"/>
          <w14:textFill>
            <w14:solidFill>
              <w14:schemeClr w14:val="tx1"/>
            </w14:solidFill>
          </w14:textFill>
        </w:rPr>
        <w:t>，</w:t>
      </w:r>
      <w:r>
        <w:rPr>
          <w:rFonts w:hint="eastAsia" w:ascii="楷体_GB2312" w:eastAsia="楷体_GB2312"/>
          <w:b/>
          <w:bCs w:val="0"/>
          <w:color w:val="000000" w:themeColor="text1"/>
          <w:spacing w:val="0"/>
          <w:kern w:val="0"/>
          <w:sz w:val="32"/>
          <w:szCs w:val="32"/>
          <w:lang w:val="en-US" w:eastAsia="zh-CN"/>
          <w14:textFill>
            <w14:solidFill>
              <w14:schemeClr w14:val="tx1"/>
            </w14:solidFill>
          </w14:textFill>
        </w:rPr>
        <w:t>招商引资和</w:t>
      </w:r>
      <w:r>
        <w:rPr>
          <w:rFonts w:hint="eastAsia" w:ascii="楷体_GB2312" w:eastAsia="楷体_GB2312"/>
          <w:b/>
          <w:bCs w:val="0"/>
          <w:color w:val="000000" w:themeColor="text1"/>
          <w:spacing w:val="0"/>
          <w:kern w:val="0"/>
          <w:sz w:val="32"/>
          <w:szCs w:val="32"/>
          <w14:textFill>
            <w14:solidFill>
              <w14:schemeClr w14:val="tx1"/>
            </w14:solidFill>
          </w14:textFill>
        </w:rPr>
        <w:t>项目</w:t>
      </w:r>
      <w:r>
        <w:rPr>
          <w:rFonts w:hint="eastAsia" w:ascii="楷体_GB2312" w:eastAsia="楷体_GB2312"/>
          <w:b/>
          <w:bCs w:val="0"/>
          <w:color w:val="000000" w:themeColor="text1"/>
          <w:spacing w:val="0"/>
          <w:kern w:val="0"/>
          <w:sz w:val="32"/>
          <w:szCs w:val="32"/>
          <w:lang w:val="en-US" w:eastAsia="zh-CN"/>
          <w14:textFill>
            <w14:solidFill>
              <w14:schemeClr w14:val="tx1"/>
            </w14:solidFill>
          </w14:textFill>
        </w:rPr>
        <w:t>建设</w:t>
      </w:r>
      <w:r>
        <w:rPr>
          <w:rFonts w:hint="eastAsia" w:ascii="楷体_GB2312" w:eastAsia="楷体_GB2312"/>
          <w:b/>
          <w:bCs w:val="0"/>
          <w:color w:val="000000" w:themeColor="text1"/>
          <w:spacing w:val="0"/>
          <w:kern w:val="0"/>
          <w:sz w:val="32"/>
          <w:szCs w:val="32"/>
          <w14:textFill>
            <w14:solidFill>
              <w14:schemeClr w14:val="tx1"/>
            </w14:solidFill>
          </w14:textFill>
        </w:rPr>
        <w:t>全力加快。</w:t>
      </w:r>
      <w:r>
        <w:rPr>
          <w:rFonts w:hint="eastAsia" w:ascii="仿宋_GB2312" w:hAnsi="仿宋_GB2312" w:eastAsia="仿宋_GB2312" w:cs="仿宋_GB2312"/>
          <w:b/>
          <w:bCs/>
          <w:color w:val="000000" w:themeColor="text1"/>
          <w:spacing w:val="0"/>
          <w:kern w:val="0"/>
          <w:sz w:val="32"/>
          <w:szCs w:val="32"/>
          <w:lang w:val="en-US" w:eastAsia="zh-CN" w:bidi="ar-SA"/>
          <w14:textFill>
            <w14:solidFill>
              <w14:schemeClr w14:val="tx1"/>
            </w14:solidFill>
          </w14:textFill>
        </w:rPr>
        <w:t>全面贯彻落实黄河重大国家战略，2个项目列入省级黄河战略重点项目库；积极融入绿色低碳高质量发展先行区建设，县开发区和圣奥化学成功入选首批省级绿色低碳高质量发展先行区建设试点，爱伦金属等31个项目入选省绿色低碳重点项目库；抢抓新一轮“突破菏泽、鲁西崛起”战略机遇，向上争取资金、项目、政策综合排名居全市第2位。以“项目建设突破年”为总抓手，全力推进招商引资和项目建设。全年签约过亿元项目102个、总投资570亿元，其中过10亿元项目19个、总投资354亿元；新落地项目60个，新投产项目50个。18个项目列入省重点，93个省市县重点项目完成投资100.6亿元。</w:t>
      </w:r>
    </w:p>
    <w:p w14:paraId="02E3C852">
      <w:pPr>
        <w:keepNext w:val="0"/>
        <w:keepLines w:val="0"/>
        <w:pageBreakBefore w:val="0"/>
        <w:widowControl w:val="0"/>
        <w:numPr>
          <w:ilvl w:val="0"/>
          <w:numId w:val="0"/>
        </w:numPr>
        <w:kinsoku/>
        <w:wordWrap/>
        <w:overflowPunct w:val="0"/>
        <w:topLinePunct w:val="0"/>
        <w:autoSpaceDE/>
        <w:autoSpaceDN/>
        <w:bidi w:val="0"/>
        <w:snapToGrid w:val="0"/>
        <w:spacing w:line="600" w:lineRule="exact"/>
        <w:ind w:firstLine="643" w:firstLineChars="200"/>
        <w:jc w:val="both"/>
        <w:textAlignment w:val="auto"/>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pPr>
      <w:r>
        <w:rPr>
          <w:rFonts w:hint="eastAsia" w:ascii="楷体_GB2312" w:hAnsi="Times New Roman" w:eastAsia="楷体_GB2312" w:cs="Times New Roman"/>
          <w:b/>
          <w:bCs w:val="0"/>
          <w:color w:val="000000" w:themeColor="text1"/>
          <w:spacing w:val="0"/>
          <w:kern w:val="0"/>
          <w:sz w:val="32"/>
          <w:szCs w:val="32"/>
          <w:lang w:val="en-US" w:eastAsia="zh-CN" w:bidi="ar-SA"/>
          <w14:textFill>
            <w14:solidFill>
              <w14:schemeClr w14:val="tx1"/>
            </w14:solidFill>
          </w14:textFill>
        </w:rPr>
        <w:t>（二）工业经济稳中提质，产业体系构建持续优化。</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大力实施工业经济“强基固本提质增效”三年行动，预计规上工业企业新增80家，达到503家，实现产值980亿元、增长12.5%,工业增加值增长11.5%；实施工业技改项目131个，完成投资48亿元，增长13.5%。全面深化重点产业“链长制”，打造高端化工、新能源、新材料和新一代信息技术等10条重点产业链。</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斯递尔荣获国家专精特新“小巨人”和全省制造业单项冠军，三利轮胎荣获国家级绿色工厂，圣奥化学荣获全国工业产品绿色示范企业，国家和省级绿色工厂数量全市第一；</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环保板材集群入选省特色产业集群。</w:t>
      </w:r>
    </w:p>
    <w:p w14:paraId="6755F50F">
      <w:pPr>
        <w:pStyle w:val="5"/>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bCs w:val="0"/>
          <w:color w:val="000000" w:themeColor="text1"/>
          <w:spacing w:val="0"/>
          <w:kern w:val="0"/>
          <w:sz w:val="32"/>
          <w:szCs w:val="32"/>
          <w:lang w:val="en-US" w:eastAsia="zh-CN" w:bidi="ar-SA"/>
          <w14:textFill>
            <w14:solidFill>
              <w14:schemeClr w14:val="tx1"/>
            </w14:solidFill>
          </w14:textFill>
        </w:rPr>
        <w:t>（三）乡村振兴深入实施，镇域经济竞相发展。</w:t>
      </w:r>
      <w:r>
        <w:rPr>
          <w:rFonts w:hint="eastAsia" w:ascii="仿宋_GB2312" w:hAnsi="仿宋_GB2312" w:eastAsia="仿宋_GB2312" w:cs="仿宋_GB2312"/>
          <w:b/>
          <w:bCs w:val="0"/>
          <w:color w:val="000000" w:themeColor="text1"/>
          <w:spacing w:val="0"/>
          <w:kern w:val="0"/>
          <w:sz w:val="32"/>
          <w:szCs w:val="32"/>
          <w:lang w:val="en-US" w:eastAsia="zh-CN" w:bidi="ar-SA"/>
          <w14:textFill>
            <w14:solidFill>
              <w14:schemeClr w14:val="tx1"/>
            </w14:solidFill>
          </w14:textFill>
        </w:rPr>
        <w:t>粮食总收获面积304.2万亩，总产138万吨，全国超级产粮大县地位持续保持。新增省级农业产业强镇2个、达到8个，新增市级以上农业龙头企业3家、达到65家，新增省级标准化生产基地2个、达到5个。大力开展</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“千村整治、百村</w:t>
      </w:r>
      <w:r>
        <w:rPr>
          <w:rFonts w:hint="eastAsia" w:ascii="仿宋_GB2312" w:hAnsi="仿宋_GB2312" w:eastAsia="仿宋_GB2312" w:cs="仿宋_GB2312"/>
          <w:b/>
          <w:bCs w:val="0"/>
          <w:color w:val="000000" w:themeColor="text1"/>
          <w:spacing w:val="0"/>
          <w:kern w:val="0"/>
          <w:sz w:val="32"/>
          <w:szCs w:val="32"/>
          <w:lang w:val="en-US" w:eastAsia="zh-CN" w:bidi="ar-SA"/>
          <w14:textFill>
            <w14:solidFill>
              <w14:schemeClr w14:val="tx1"/>
            </w14:solidFill>
          </w14:textFill>
        </w:rPr>
        <w:t>提升、春季绿化”“清洁曹县”等集中整治提升行动，提升120条乡村道路，植树80余万棵，建成美丽乡村示范村264个。庄寨镇、大集镇2个镇入选全省小城镇创新提升行动试点名单;邵庄镇入选2023年全省特色小镇。</w:t>
      </w:r>
    </w:p>
    <w:p w14:paraId="13B5816D">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default" w:ascii="仿宋_GB2312" w:hAnsi="仿宋_GB2312" w:eastAsia="仿宋_GB2312" w:cs="仿宋_GB2312"/>
          <w:b/>
          <w:bCs w:val="0"/>
          <w:color w:val="000000" w:themeColor="text1"/>
          <w:spacing w:val="0"/>
          <w:kern w:val="0"/>
          <w:sz w:val="32"/>
          <w:szCs w:val="32"/>
          <w:lang w:val="en-US" w:eastAsia="zh-CN" w:bidi="ar-SA"/>
          <w14:textFill>
            <w14:solidFill>
              <w14:schemeClr w14:val="tx1"/>
            </w14:solidFill>
          </w14:textFill>
        </w:rPr>
      </w:pPr>
      <w:r>
        <w:rPr>
          <w:rFonts w:hint="eastAsia" w:ascii="楷体_GB2312" w:hAnsi="Times New Roman" w:eastAsia="楷体_GB2312" w:cs="Times New Roman"/>
          <w:b/>
          <w:bCs w:val="0"/>
          <w:color w:val="000000" w:themeColor="text1"/>
          <w:spacing w:val="0"/>
          <w:kern w:val="0"/>
          <w:sz w:val="32"/>
          <w:szCs w:val="32"/>
          <w:lang w:val="en-US" w:eastAsia="zh-CN" w:bidi="ar-SA"/>
          <w14:textFill>
            <w14:solidFill>
              <w14:schemeClr w14:val="tx1"/>
            </w14:solidFill>
          </w14:textFill>
        </w:rPr>
        <w:t>（四）电商产业加快聚集，消费市场热度攀升。</w:t>
      </w:r>
      <w:r>
        <w:rPr>
          <w:rFonts w:hint="eastAsia" w:ascii="仿宋_GB2312" w:hAnsi="仿宋_GB2312" w:eastAsia="仿宋_GB2312" w:cs="仿宋_GB2312"/>
          <w:b/>
          <w:bCs w:val="0"/>
          <w:color w:val="000000" w:themeColor="text1"/>
          <w:spacing w:val="0"/>
          <w:kern w:val="0"/>
          <w:sz w:val="32"/>
          <w:szCs w:val="32"/>
          <w:lang w:val="en-US" w:eastAsia="zh-CN" w:bidi="ar-SA"/>
          <w14:textFill>
            <w14:solidFill>
              <w14:schemeClr w14:val="tx1"/>
            </w14:solidFill>
          </w14:textFill>
        </w:rPr>
        <w:t>淘宝镇村分别达到21个、176个，占全省的1/10、1/5，淘宝镇数量居国内县域第1位。电商企业达7068家，网店8.4万个。全年电商销售额达到347亿元、居全市第1位，其中汉服网上销售额突破70亿元、占全国的40%以上。新培育省级电商新业态主体15家，占全市的1/3以上。</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完成社会消费品零售总额361.1亿元、增长10.3%。</w:t>
      </w:r>
      <w:r>
        <w:rPr>
          <w:rFonts w:hint="eastAsia" w:ascii="仿宋_GB2312" w:hAnsi="仿宋_GB2312" w:eastAsia="仿宋_GB2312" w:cs="仿宋_GB2312"/>
          <w:b/>
          <w:bCs w:val="0"/>
          <w:color w:val="000000" w:themeColor="text1"/>
          <w:spacing w:val="0"/>
          <w:kern w:val="0"/>
          <w:sz w:val="32"/>
          <w:szCs w:val="32"/>
          <w:lang w:val="en-US" w:eastAsia="zh-CN" w:bidi="ar-SA"/>
          <w14:textFill>
            <w14:solidFill>
              <w14:schemeClr w14:val="tx1"/>
            </w14:solidFill>
          </w14:textFill>
        </w:rPr>
        <w:t>2023年新增市场主体3.5万户、达到15.5万户，新增企业6700家、达到4.8万家，</w:t>
      </w:r>
      <w:r>
        <w:rPr>
          <w:rFonts w:hint="eastAsia" w:ascii="仿宋_GB2312" w:eastAsia="仿宋_GB2312"/>
          <w:b/>
          <w:bCs w:val="0"/>
          <w:color w:val="000000" w:themeColor="text1"/>
          <w:spacing w:val="0"/>
          <w:kern w:val="0"/>
          <w:sz w:val="32"/>
          <w:szCs w:val="32"/>
          <w:lang w:val="en-US" w:eastAsia="zh-CN"/>
          <w14:textFill>
            <w14:solidFill>
              <w14:schemeClr w14:val="tx1"/>
            </w14:solidFill>
          </w14:textFill>
        </w:rPr>
        <w:t>市场活跃度持续提升。</w:t>
      </w:r>
    </w:p>
    <w:p w14:paraId="695BF396">
      <w:pPr>
        <w:pStyle w:val="9"/>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beforeAutospacing="0" w:after="0" w:afterAutospacing="0" w:line="600" w:lineRule="exact"/>
        <w:ind w:right="0" w:rightChars="0" w:firstLine="643" w:firstLineChars="200"/>
        <w:jc w:val="both"/>
        <w:textAlignment w:val="auto"/>
        <w:rPr>
          <w:rFonts w:hint="default" w:ascii="仿宋_GB2312" w:hAnsi="仿宋_GB2312" w:eastAsia="仿宋_GB2312" w:cs="仿宋_GB2312"/>
          <w:b/>
          <w:bCs w:val="0"/>
          <w:color w:val="000000" w:themeColor="text1"/>
          <w:spacing w:val="-6"/>
          <w:kern w:val="0"/>
          <w:sz w:val="32"/>
          <w:szCs w:val="32"/>
          <w:lang w:val="en-US" w:eastAsia="zh-CN" w:bidi="ar-SA"/>
          <w14:textFill>
            <w14:solidFill>
              <w14:schemeClr w14:val="tx1"/>
            </w14:solidFill>
          </w14:textFill>
        </w:rPr>
      </w:pPr>
      <w:r>
        <w:rPr>
          <w:rFonts w:hint="eastAsia" w:ascii="楷体_GB2312" w:hAnsi="Times New Roman" w:eastAsia="楷体_GB2312" w:cs="Times New Roman"/>
          <w:b/>
          <w:bCs w:val="0"/>
          <w:color w:val="000000" w:themeColor="text1"/>
          <w:spacing w:val="0"/>
          <w:kern w:val="0"/>
          <w:sz w:val="32"/>
          <w:szCs w:val="32"/>
          <w:lang w:val="en-US" w:eastAsia="zh-CN" w:bidi="ar-SA"/>
          <w14:textFill>
            <w14:solidFill>
              <w14:schemeClr w14:val="tx1"/>
            </w14:solidFill>
          </w14:textFill>
        </w:rPr>
        <w:t>（五）城市建设扩容提质</w:t>
      </w:r>
      <w:r>
        <w:rPr>
          <w:rFonts w:hint="eastAsia" w:ascii="楷体_GB2312" w:eastAsia="楷体_GB2312" w:cs="Times New Roman"/>
          <w:b/>
          <w:bCs w:val="0"/>
          <w:color w:val="000000" w:themeColor="text1"/>
          <w:spacing w:val="0"/>
          <w:kern w:val="0"/>
          <w:sz w:val="32"/>
          <w:szCs w:val="32"/>
          <w:lang w:val="en-US" w:eastAsia="zh-CN" w:bidi="ar-SA"/>
          <w14:textFill>
            <w14:solidFill>
              <w14:schemeClr w14:val="tx1"/>
            </w14:solidFill>
          </w14:textFill>
        </w:rPr>
        <w:t>，基础设施建设加快推进。</w:t>
      </w:r>
      <w:r>
        <w:rPr>
          <w:rFonts w:hint="eastAsia" w:ascii="仿宋_GB2312" w:hAnsi="仿宋_GB2312" w:eastAsia="仿宋_GB2312" w:cs="仿宋_GB2312"/>
          <w:b/>
          <w:bCs w:val="0"/>
          <w:color w:val="000000" w:themeColor="text1"/>
          <w:spacing w:val="0"/>
          <w:kern w:val="0"/>
          <w:sz w:val="32"/>
          <w:szCs w:val="32"/>
          <w:lang w:val="en-US" w:eastAsia="zh-CN" w:bidi="ar-SA"/>
          <w14:textFill>
            <w14:solidFill>
              <w14:schemeClr w14:val="tx1"/>
            </w14:solidFill>
          </w14:textFill>
        </w:rPr>
        <w:t>高水平完成我县国土空间规划，县中心城区规划由58平方公里增加到86.48平方公里。改造老旧小区2个，建成棚改安置房6567套。新开工房地产面</w:t>
      </w:r>
      <w:r>
        <w:rPr>
          <w:rFonts w:hint="eastAsia" w:ascii="仿宋_GB2312" w:hAnsi="仿宋_GB2312" w:eastAsia="仿宋_GB2312" w:cs="仿宋_GB2312"/>
          <w:b/>
          <w:bCs w:val="0"/>
          <w:color w:val="000000" w:themeColor="text1"/>
          <w:spacing w:val="-6"/>
          <w:kern w:val="0"/>
          <w:sz w:val="32"/>
          <w:szCs w:val="32"/>
          <w:lang w:val="en-US" w:eastAsia="zh-CN" w:bidi="ar-SA"/>
          <w14:textFill>
            <w14:solidFill>
              <w14:schemeClr w14:val="tx1"/>
            </w14:solidFill>
          </w14:textFill>
        </w:rPr>
        <w:t>积90万平方米，竣工103.7万平方米，商品房销售备案7870套、99.5万平方米。雄商高铁加快建设，济商、徐民高速顺利开工，省道250、242、318提升改造工程完工通车，菏商路北段拓宽至6车道，曹县进出通道路域环境进一步提升。持续完善城市基础设施，新修、改造城区道路25条，新修四好农村路122公里。治理城区合流管网62公里，铺设雨污管网85公里。</w:t>
      </w:r>
    </w:p>
    <w:p w14:paraId="22C04B3A">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_GB2312" w:eastAsia="仿宋_GB2312"/>
          <w:b/>
          <w:bCs w:val="0"/>
          <w:color w:val="000000" w:themeColor="text1"/>
          <w:spacing w:val="0"/>
          <w:kern w:val="0"/>
          <w:sz w:val="32"/>
          <w:szCs w:val="32"/>
          <w14:textFill>
            <w14:solidFill>
              <w14:schemeClr w14:val="tx1"/>
            </w14:solidFill>
          </w14:textFill>
        </w:rPr>
      </w:pPr>
      <w:r>
        <w:rPr>
          <w:rFonts w:hint="eastAsia" w:ascii="楷体_GB2312" w:hAnsi="Times New Roman" w:eastAsia="楷体_GB2312" w:cs="Times New Roman"/>
          <w:b/>
          <w:bCs w:val="0"/>
          <w:color w:val="000000" w:themeColor="text1"/>
          <w:spacing w:val="0"/>
          <w:kern w:val="0"/>
          <w:sz w:val="32"/>
          <w:szCs w:val="32"/>
          <w:lang w:val="en-US" w:eastAsia="zh-CN" w:bidi="ar-SA"/>
          <w14:textFill>
            <w14:solidFill>
              <w14:schemeClr w14:val="tx1"/>
            </w14:solidFill>
          </w14:textFill>
        </w:rPr>
        <w:t>（六）社会事业全面协调发展，民生福祉持续增进。</w:t>
      </w:r>
      <w:r>
        <w:rPr>
          <w:rFonts w:hint="eastAsia" w:ascii="仿宋_GB2312" w:hAnsi="仿宋_GB2312" w:eastAsia="仿宋_GB2312" w:cs="仿宋_GB2312"/>
          <w:b/>
          <w:bCs/>
          <w:color w:val="000000" w:themeColor="text1"/>
          <w:kern w:val="0"/>
          <w:sz w:val="32"/>
          <w:szCs w:val="32"/>
          <w14:textFill>
            <w14:solidFill>
              <w14:schemeClr w14:val="tx1"/>
            </w14:solidFill>
          </w14:textFill>
        </w:rPr>
        <w:t>教育事业稳步发展，</w:t>
      </w:r>
      <w:r>
        <w:rPr>
          <w:rFonts w:hint="eastAsia" w:ascii="仿宋_GB2312" w:hAnsi="仿宋_GB2312" w:eastAsia="仿宋_GB2312" w:cs="仿宋_GB2312"/>
          <w:b/>
          <w:bCs w:val="0"/>
          <w:color w:val="000000" w:themeColor="text1"/>
          <w:spacing w:val="0"/>
          <w:kern w:val="0"/>
          <w:sz w:val="32"/>
          <w:szCs w:val="32"/>
          <w:lang w:val="en-US" w:eastAsia="zh-CN" w:bidi="ar-SA"/>
          <w14:textFill>
            <w14:solidFill>
              <w14:schemeClr w14:val="tx1"/>
            </w14:solidFill>
          </w14:textFill>
        </w:rPr>
        <w:t>新建改建中小学校7处、新增学位7490个。</w:t>
      </w:r>
      <w:r>
        <w:rPr>
          <w:rFonts w:hint="eastAsia" w:ascii="仿宋_GB2312" w:hAnsi="仿宋_GB2312" w:eastAsia="仿宋_GB2312" w:cs="仿宋_GB2312"/>
          <w:b/>
          <w:bCs/>
          <w:color w:val="000000" w:themeColor="text1"/>
          <w:kern w:val="0"/>
          <w:sz w:val="32"/>
          <w:szCs w:val="32"/>
          <w14:textFill>
            <w14:solidFill>
              <w14:schemeClr w14:val="tx1"/>
            </w14:solidFill>
          </w14:textFill>
        </w:rPr>
        <w:t>城乡就业稳定增长</w:t>
      </w:r>
      <w:r>
        <w:rPr>
          <w:rFonts w:hint="eastAsia" w:ascii="仿宋_GB2312" w:eastAsia="仿宋_GB2312"/>
          <w:b/>
          <w:bCs w:val="0"/>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b/>
          <w:bCs w:val="0"/>
          <w:color w:val="000000" w:themeColor="text1"/>
          <w:spacing w:val="0"/>
          <w:kern w:val="0"/>
          <w:sz w:val="32"/>
          <w:szCs w:val="32"/>
          <w:lang w:val="en-US" w:eastAsia="zh-CN" w:bidi="ar-SA"/>
          <w14:textFill>
            <w14:solidFill>
              <w14:schemeClr w14:val="tx1"/>
            </w14:solidFill>
          </w14:textFill>
        </w:rPr>
        <w:t>新增城镇就业1.1万人，新增返乡创业1.61万人。</w:t>
      </w:r>
      <w:r>
        <w:rPr>
          <w:rFonts w:hint="eastAsia" w:ascii="仿宋_GB2312" w:hAnsi="仿宋_GB2312" w:eastAsia="仿宋_GB2312" w:cs="仿宋_GB2312"/>
          <w:b/>
          <w:bCs/>
          <w:color w:val="000000" w:themeColor="text1"/>
          <w:spacing w:val="0"/>
          <w:kern w:val="0"/>
          <w:sz w:val="32"/>
          <w:szCs w:val="32"/>
          <w14:textFill>
            <w14:solidFill>
              <w14:schemeClr w14:val="tx1"/>
            </w14:solidFill>
          </w14:textFill>
        </w:rPr>
        <w:t>大力发展卫生事业，</w:t>
      </w:r>
      <w:r>
        <w:rPr>
          <w:rFonts w:hint="eastAsia" w:ascii="仿宋_GB2312" w:hAnsi="仿宋_GB2312" w:eastAsia="仿宋_GB2312" w:cs="仿宋_GB2312"/>
          <w:b/>
          <w:bCs w:val="0"/>
          <w:color w:val="000000" w:themeColor="text1"/>
          <w:spacing w:val="0"/>
          <w:kern w:val="0"/>
          <w:sz w:val="32"/>
          <w:szCs w:val="32"/>
          <w:lang w:val="en-US" w:eastAsia="zh-CN" w:bidi="ar-SA"/>
          <w14:textFill>
            <w14:solidFill>
              <w14:schemeClr w14:val="tx1"/>
            </w14:solidFill>
          </w14:textFill>
        </w:rPr>
        <w:t>实现异地普通门诊、住院联网结算全覆盖，深入实施医疗惠民工程，免费为城乡居民提供12类45项基本公共卫生服务项目。</w:t>
      </w:r>
      <w:r>
        <w:rPr>
          <w:rFonts w:hint="eastAsia" w:ascii="仿宋_GB2312" w:hAnsi="仿宋_GB2312" w:eastAsia="仿宋_GB2312" w:cs="仿宋_GB2312"/>
          <w:b/>
          <w:bCs/>
          <w:color w:val="000000" w:themeColor="text1"/>
          <w:kern w:val="0"/>
          <w:sz w:val="32"/>
          <w:szCs w:val="32"/>
          <w14:textFill>
            <w14:solidFill>
              <w14:schemeClr w14:val="tx1"/>
            </w14:solidFill>
          </w14:textFill>
        </w:rPr>
        <w:t>社会保障能力进一步提</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升，</w:t>
      </w:r>
      <w:r>
        <w:rPr>
          <w:rFonts w:hint="eastAsia" w:ascii="仿宋_GB2312" w:hAnsi="仿宋_GB2312" w:eastAsia="仿宋_GB2312" w:cs="仿宋_GB2312"/>
          <w:b/>
          <w:bCs w:val="0"/>
          <w:color w:val="000000" w:themeColor="text1"/>
          <w:sz w:val="32"/>
          <w:szCs w:val="32"/>
          <w14:textFill>
            <w14:solidFill>
              <w14:schemeClr w14:val="tx1"/>
            </w14:solidFill>
          </w14:textFill>
        </w:rPr>
        <w:t>新建小区养老服务设施</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b/>
          <w:bCs w:val="0"/>
          <w:color w:val="000000" w:themeColor="text1"/>
          <w:sz w:val="32"/>
          <w:szCs w:val="32"/>
          <w14:textFill>
            <w14:solidFill>
              <w14:schemeClr w14:val="tx1"/>
            </w14:solidFill>
          </w14:textFill>
        </w:rPr>
        <w:t>处，敬老院适老化改造14处</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w:t>
      </w:r>
      <w:r>
        <w:rPr>
          <w:rFonts w:hAnsi="仿宋_GB2312" w:eastAsia="仿宋_GB2312"/>
          <w:b/>
          <w:color w:val="000000" w:themeColor="text1"/>
          <w:sz w:val="32"/>
          <w:szCs w:val="32"/>
          <w14:textFill>
            <w14:solidFill>
              <w14:schemeClr w14:val="tx1"/>
            </w14:solidFill>
          </w14:textFill>
        </w:rPr>
        <w:t>文化事业繁荣发展</w:t>
      </w:r>
      <w:r>
        <w:rPr>
          <w:rFonts w:hint="eastAsia" w:hAnsi="仿宋_GB2312" w:eastAsia="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val="0"/>
          <w:color w:val="000000" w:themeColor="text1"/>
          <w:sz w:val="32"/>
          <w:szCs w:val="32"/>
          <w14:textFill>
            <w14:solidFill>
              <w14:schemeClr w14:val="tx1"/>
            </w14:solidFill>
          </w14:textFill>
        </w:rPr>
        <w:t>成功举办</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电商节、</w:t>
      </w:r>
      <w:r>
        <w:rPr>
          <w:rFonts w:hint="eastAsia" w:ascii="仿宋_GB2312" w:hAnsi="仿宋_GB2312" w:eastAsia="仿宋_GB2312" w:cs="仿宋_GB2312"/>
          <w:b/>
          <w:bCs w:val="0"/>
          <w:color w:val="000000" w:themeColor="text1"/>
          <w:sz w:val="32"/>
          <w:szCs w:val="32"/>
          <w14:textFill>
            <w14:solidFill>
              <w14:schemeClr w14:val="tx1"/>
            </w14:solidFill>
          </w14:textFill>
        </w:rPr>
        <w:t>荷花节、芦笋节、油菜花节、汉服文化节等大型活动60余场次。</w:t>
      </w:r>
      <w:r>
        <w:rPr>
          <w:rFonts w:hint="eastAsia" w:ascii="仿宋_GB2312" w:hAnsi="仿宋_GB2312" w:eastAsia="仿宋_GB2312" w:cs="仿宋_GB2312"/>
          <w:b/>
          <w:bCs w:val="0"/>
          <w:color w:val="000000" w:themeColor="text1"/>
          <w:spacing w:val="0"/>
          <w:kern w:val="0"/>
          <w:sz w:val="32"/>
          <w:szCs w:val="32"/>
          <w:lang w:val="en-US" w:eastAsia="zh-CN" w:bidi="ar-SA"/>
          <w14:textFill>
            <w14:solidFill>
              <w14:schemeClr w14:val="tx1"/>
            </w14:solidFill>
          </w14:textFill>
        </w:rPr>
        <w:t>坚决打好污染防治攻坚战，空气质量综合指数、pm2.5平均浓度、空气质量优良天数均列全市第一。</w:t>
      </w:r>
      <w:r>
        <w:rPr>
          <w:rFonts w:hint="eastAsia" w:ascii="仿宋_GB2312" w:eastAsia="仿宋_GB2312"/>
          <w:b/>
          <w:bCs w:val="0"/>
          <w:color w:val="000000" w:themeColor="text1"/>
          <w:spacing w:val="0"/>
          <w:kern w:val="0"/>
          <w:sz w:val="32"/>
          <w:szCs w:val="32"/>
          <w14:textFill>
            <w14:solidFill>
              <w14:schemeClr w14:val="tx1"/>
            </w14:solidFill>
          </w14:textFill>
        </w:rPr>
        <w:t>其他社会事业也取得了新的发展。</w:t>
      </w:r>
    </w:p>
    <w:p w14:paraId="4CAE8C23">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spacing w:val="0"/>
          <w:kern w:val="0"/>
          <w:sz w:val="32"/>
          <w:szCs w:val="32"/>
          <w:lang w:val="en-US" w:eastAsia="zh-CN" w:bidi="ar-SA"/>
          <w14:textFill>
            <w14:solidFill>
              <w14:schemeClr w14:val="tx1"/>
            </w14:solidFill>
          </w14:textFill>
        </w:rPr>
        <w:t>各位代表，在肯定2023年成绩的同时，我们更加清醒地认识到，成绩来之不易，问题和挑战仍然突出。</w:t>
      </w:r>
      <w:r>
        <w:rPr>
          <w:rFonts w:hint="eastAsia" w:ascii="仿宋_GB2312" w:eastAsia="仿宋_GB2312"/>
          <w:b/>
          <w:bCs w:val="0"/>
          <w:color w:val="000000" w:themeColor="text1"/>
          <w:spacing w:val="0"/>
          <w:kern w:val="0"/>
          <w:sz w:val="32"/>
          <w:szCs w:val="32"/>
          <w14:textFill>
            <w14:solidFill>
              <w14:schemeClr w14:val="tx1"/>
            </w14:solidFill>
          </w14:textFill>
        </w:rPr>
        <w:t>主要表现在</w:t>
      </w:r>
      <w:r>
        <w:rPr>
          <w:rFonts w:hint="default" w:ascii="仿宋_GB2312" w:hAnsi="仿宋_GB2312" w:eastAsia="仿宋_GB2312" w:cs="仿宋_GB2312"/>
          <w:b/>
          <w:bCs w:val="0"/>
          <w:color w:val="000000" w:themeColor="text1"/>
          <w:sz w:val="32"/>
          <w:szCs w:val="32"/>
          <w:lang w:val="en-US" w:eastAsia="zh-CN"/>
          <w14:textFill>
            <w14:solidFill>
              <w14:schemeClr w14:val="tx1"/>
            </w14:solidFill>
          </w14:textFill>
        </w:rPr>
        <w:t>经济综合实力还不够强，</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民间投资能力偏弱，有效投入不足；农副产品加工产业比例过高，新兴产业刚刚起步，</w:t>
      </w:r>
      <w:r>
        <w:rPr>
          <w:rFonts w:hint="default" w:ascii="仿宋_GB2312" w:hAnsi="仿宋_GB2312" w:eastAsia="仿宋_GB2312" w:cs="仿宋_GB2312"/>
          <w:b/>
          <w:bCs w:val="0"/>
          <w:color w:val="000000" w:themeColor="text1"/>
          <w:sz w:val="32"/>
          <w:szCs w:val="32"/>
          <w:lang w:val="en-US" w:eastAsia="zh-CN"/>
          <w14:textFill>
            <w14:solidFill>
              <w14:schemeClr w14:val="tx1"/>
            </w14:solidFill>
          </w14:textFill>
        </w:rPr>
        <w:t>转型升级有待加快;</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基础设施短板明显，城乡供水、排水防涝、天然气等管网还不完备；</w:t>
      </w:r>
      <w:r>
        <w:rPr>
          <w:rFonts w:hint="default" w:ascii="仿宋_GB2312" w:hAnsi="仿宋_GB2312" w:eastAsia="仿宋_GB2312" w:cs="仿宋_GB2312"/>
          <w:b/>
          <w:bCs w:val="0"/>
          <w:color w:val="000000" w:themeColor="text1"/>
          <w:sz w:val="32"/>
          <w:szCs w:val="32"/>
          <w:lang w:val="en-US" w:eastAsia="zh-CN"/>
          <w14:textFill>
            <w14:solidFill>
              <w14:schemeClr w14:val="tx1"/>
            </w14:solidFill>
          </w14:textFill>
        </w:rPr>
        <w:t>城市管理、乡村振兴等</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领域</w:t>
      </w:r>
      <w:r>
        <w:rPr>
          <w:rFonts w:hint="default" w:ascii="仿宋_GB2312" w:hAnsi="仿宋_GB2312" w:eastAsia="仿宋_GB2312" w:cs="仿宋_GB2312"/>
          <w:b/>
          <w:bCs w:val="0"/>
          <w:color w:val="000000" w:themeColor="text1"/>
          <w:sz w:val="32"/>
          <w:szCs w:val="32"/>
          <w:lang w:val="en-US" w:eastAsia="zh-CN"/>
          <w14:textFill>
            <w14:solidFill>
              <w14:schemeClr w14:val="tx1"/>
            </w14:solidFill>
          </w14:textFill>
        </w:rPr>
        <w:t>还存在不少短板，教育、医疗、养老等公共服务能力距离群众期盼还有差距</w:t>
      </w:r>
      <w:r>
        <w:rPr>
          <w:rFonts w:hint="eastAsia" w:ascii="仿宋_GB2312" w:hAnsi="仿宋_GB2312" w:eastAsia="仿宋_GB2312" w:cs="仿宋_GB2312"/>
          <w:b/>
          <w:bCs w:val="0"/>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eastAsia="仿宋_GB2312" w:cs="Times New Roman"/>
          <w:b/>
          <w:bCs w:val="0"/>
          <w:color w:val="000000" w:themeColor="text1"/>
          <w:kern w:val="0"/>
          <w:sz w:val="32"/>
          <w:szCs w:val="32"/>
          <w14:textFill>
            <w14:solidFill>
              <w14:schemeClr w14:val="tx1"/>
            </w14:solidFill>
          </w14:textFill>
        </w:rPr>
        <w:t>对此，我们要增强发展意识，多策并举，着力予以应对和解决。</w:t>
      </w:r>
    </w:p>
    <w:p w14:paraId="54A6EF79">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黑体" w:hAnsi="黑体" w:eastAsia="黑体" w:cs="黑体"/>
          <w:b/>
          <w:bCs w:val="0"/>
          <w:color w:val="000000" w:themeColor="text1"/>
          <w:spacing w:val="0"/>
          <w:kern w:val="0"/>
          <w:sz w:val="32"/>
          <w:szCs w:val="32"/>
          <w14:textFill>
            <w14:solidFill>
              <w14:schemeClr w14:val="tx1"/>
            </w14:solidFill>
          </w14:textFill>
        </w:rPr>
      </w:pPr>
      <w:r>
        <w:rPr>
          <w:rFonts w:hint="eastAsia" w:ascii="黑体" w:hAnsi="黑体" w:eastAsia="黑体" w:cs="黑体"/>
          <w:b/>
          <w:bCs w:val="0"/>
          <w:color w:val="000000" w:themeColor="text1"/>
          <w:spacing w:val="0"/>
          <w:kern w:val="0"/>
          <w:sz w:val="32"/>
          <w:szCs w:val="32"/>
          <w14:textFill>
            <w14:solidFill>
              <w14:schemeClr w14:val="tx1"/>
            </w14:solidFill>
          </w14:textFill>
        </w:rPr>
        <w:t>二、</w:t>
      </w:r>
      <w:r>
        <w:rPr>
          <w:rFonts w:hint="eastAsia" w:ascii="黑体" w:hAnsi="黑体" w:eastAsia="黑体" w:cs="黑体"/>
          <w:b/>
          <w:bCs w:val="0"/>
          <w:color w:val="000000" w:themeColor="text1"/>
          <w:spacing w:val="0"/>
          <w:kern w:val="0"/>
          <w:sz w:val="32"/>
          <w:szCs w:val="32"/>
          <w:lang w:val="en-US" w:eastAsia="zh-CN"/>
          <w14:textFill>
            <w14:solidFill>
              <w14:schemeClr w14:val="tx1"/>
            </w14:solidFill>
          </w14:textFill>
        </w:rPr>
        <w:t>2024</w:t>
      </w:r>
      <w:r>
        <w:rPr>
          <w:rFonts w:hint="eastAsia" w:ascii="黑体" w:hAnsi="黑体" w:eastAsia="黑体" w:cs="黑体"/>
          <w:b/>
          <w:bCs w:val="0"/>
          <w:color w:val="000000" w:themeColor="text1"/>
          <w:spacing w:val="0"/>
          <w:kern w:val="0"/>
          <w:sz w:val="32"/>
          <w:szCs w:val="32"/>
          <w14:textFill>
            <w14:solidFill>
              <w14:schemeClr w14:val="tx1"/>
            </w14:solidFill>
          </w14:textFill>
        </w:rPr>
        <w:t>年计划安排意见</w:t>
      </w:r>
    </w:p>
    <w:p w14:paraId="4DA6CE06">
      <w:pPr>
        <w:keepNext w:val="0"/>
        <w:keepLines w:val="0"/>
        <w:pageBreakBefore w:val="0"/>
        <w:widowControl w:val="0"/>
        <w:kinsoku/>
        <w:wordWrap/>
        <w:overflowPunct w:val="0"/>
        <w:topLinePunct w:val="0"/>
        <w:autoSpaceDE/>
        <w:autoSpaceDN/>
        <w:bidi w:val="0"/>
        <w:adjustRightInd w:val="0"/>
        <w:snapToGrid w:val="0"/>
        <w:spacing w:after="0" w:line="600" w:lineRule="exact"/>
        <w:ind w:firstLine="643" w:firstLineChars="200"/>
        <w:jc w:val="both"/>
        <w:textAlignment w:val="auto"/>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pacing w:val="0"/>
          <w:kern w:val="0"/>
          <w:sz w:val="32"/>
          <w:szCs w:val="32"/>
          <w:lang w:val="en-US" w:eastAsia="zh-CN" w:bidi="ar-SA"/>
          <w14:textFill>
            <w14:solidFill>
              <w14:schemeClr w14:val="tx1"/>
            </w14:solidFill>
          </w14:textFill>
        </w:rPr>
        <w:t>2024年是中华人民共和国成立75周年，是实施“十四五”规划的关键一年，全县工作的总体要求是：</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以习近平新时代中国特色社会主义思想为指导，落实中央、省市和县委经济工作会议部署，锚定“县域经济高质量发展先进县”目标，全力实施“工业强县”工程，持续推进“六个突破”，深入实施“六大会战”，聚力十亿营收强企培植、百亿产业集群打造，统筹城乡协调发展，统筹发展与安全，全面提振市场信心、防范重大风险、增进民生福祉，奋力谱写高质量发展新篇章。</w:t>
      </w:r>
    </w:p>
    <w:p w14:paraId="36371F47">
      <w:pPr>
        <w:keepNext w:val="0"/>
        <w:keepLines w:val="0"/>
        <w:pageBreakBefore w:val="0"/>
        <w:widowControl w:val="0"/>
        <w:kinsoku/>
        <w:wordWrap/>
        <w:overflowPunct w:val="0"/>
        <w:topLinePunct w:val="0"/>
        <w:autoSpaceDE/>
        <w:autoSpaceDN/>
        <w:bidi w:val="0"/>
        <w:adjustRightInd w:val="0"/>
        <w:snapToGrid w:val="0"/>
        <w:spacing w:after="0" w:line="600" w:lineRule="exact"/>
        <w:ind w:firstLine="643" w:firstLineChars="200"/>
        <w:jc w:val="both"/>
        <w:textAlignment w:val="auto"/>
        <w:rPr>
          <w:rFonts w:hint="eastAsia" w:ascii="仿宋_GB2312" w:hAnsi="仿宋_GB2312" w:eastAsia="仿宋_GB2312" w:cs="仿宋_GB2312"/>
          <w:b/>
          <w:bCs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spacing w:val="0"/>
          <w:kern w:val="0"/>
          <w:sz w:val="32"/>
          <w:szCs w:val="32"/>
          <w:lang w:val="en-US" w:eastAsia="zh-CN" w:bidi="ar-SA"/>
          <w14:textFill>
            <w14:solidFill>
              <w14:schemeClr w14:val="tx1"/>
            </w14:solidFill>
          </w14:textFill>
        </w:rPr>
        <w:t>主要预期目标是：</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地区生产总值增长6%左右，一般公共预算收入增长5%左右，规模以上工业增加值增长8%左右，居民人均可支配收入增长6.5%左右，全面完成节能减排降碳和环境质量约束性指标。</w:t>
      </w:r>
    </w:p>
    <w:p w14:paraId="7DA01339">
      <w:pPr>
        <w:pStyle w:val="9"/>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600" w:lineRule="exact"/>
        <w:ind w:right="0" w:firstLine="643" w:firstLineChars="200"/>
        <w:jc w:val="both"/>
        <w:textAlignment w:val="auto"/>
        <w:rPr>
          <w:rFonts w:eastAsia="仿宋_GB2312"/>
          <w:b/>
          <w:bCs/>
          <w:color w:val="000000" w:themeColor="text1"/>
          <w:spacing w:val="0"/>
          <w:kern w:val="0"/>
          <w:sz w:val="32"/>
          <w:szCs w:val="32"/>
          <w14:textFill>
            <w14:solidFill>
              <w14:schemeClr w14:val="tx1"/>
            </w14:solidFill>
          </w14:textFill>
        </w:rPr>
      </w:pPr>
      <w:r>
        <w:rPr>
          <w:rFonts w:eastAsia="仿宋_GB2312"/>
          <w:b/>
          <w:bCs/>
          <w:color w:val="000000" w:themeColor="text1"/>
          <w:spacing w:val="0"/>
          <w:kern w:val="0"/>
          <w:sz w:val="32"/>
          <w:szCs w:val="32"/>
          <w14:textFill>
            <w14:solidFill>
              <w14:schemeClr w14:val="tx1"/>
            </w14:solidFill>
          </w14:textFill>
        </w:rPr>
        <w:t>为实现上述目标，重点做好以下</w:t>
      </w:r>
      <w:r>
        <w:rPr>
          <w:rFonts w:hint="eastAsia" w:eastAsia="仿宋_GB2312"/>
          <w:b/>
          <w:bCs/>
          <w:color w:val="000000" w:themeColor="text1"/>
          <w:spacing w:val="0"/>
          <w:kern w:val="0"/>
          <w:sz w:val="32"/>
          <w:szCs w:val="32"/>
          <w:lang w:val="en-US" w:eastAsia="zh-CN"/>
          <w14:textFill>
            <w14:solidFill>
              <w14:schemeClr w14:val="tx1"/>
            </w14:solidFill>
          </w14:textFill>
        </w:rPr>
        <w:t>七</w:t>
      </w:r>
      <w:r>
        <w:rPr>
          <w:rFonts w:eastAsia="仿宋_GB2312"/>
          <w:b/>
          <w:bCs/>
          <w:color w:val="000000" w:themeColor="text1"/>
          <w:spacing w:val="0"/>
          <w:kern w:val="0"/>
          <w:sz w:val="32"/>
          <w:szCs w:val="32"/>
          <w14:textFill>
            <w14:solidFill>
              <w14:schemeClr w14:val="tx1"/>
            </w14:solidFill>
          </w14:textFill>
        </w:rPr>
        <w:t>个方面的工作：</w:t>
      </w:r>
    </w:p>
    <w:p w14:paraId="1EEA3115">
      <w:pPr>
        <w:keepNext w:val="0"/>
        <w:keepLines w:val="0"/>
        <w:pageBreakBefore w:val="0"/>
        <w:widowControl w:val="0"/>
        <w:kinsoku/>
        <w:wordWrap/>
        <w:overflowPunct w:val="0"/>
        <w:topLinePunct w:val="0"/>
        <w:autoSpaceDE/>
        <w:autoSpaceDN/>
        <w:bidi w:val="0"/>
        <w:adjustRightInd w:val="0"/>
        <w:snapToGrid w:val="0"/>
        <w:spacing w:after="0" w:line="600" w:lineRule="exact"/>
        <w:ind w:firstLine="643" w:firstLineChars="200"/>
        <w:jc w:val="both"/>
        <w:textAlignment w:val="auto"/>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（一）筑牢经济向好基本盘 ，积极扩大有效投资。</w:t>
      </w: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一是全力扩大有效投资。</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全年签约过亿元项目100个以上，落地国电投循环经济产业园等过10亿元项目10个以上</w:t>
      </w:r>
      <w:r>
        <w:rPr>
          <w:rFonts w:hint="eastAsia" w:ascii="仿宋_GB2312" w:hAnsi="仿宋_GB2312" w:eastAsia="仿宋_GB2312" w:cs="仿宋_GB2312"/>
          <w:b/>
          <w:bCs w:val="0"/>
          <w:color w:val="000000" w:themeColor="text1"/>
          <w:kern w:val="0"/>
          <w:sz w:val="32"/>
          <w:szCs w:val="32"/>
          <w:lang w:val="en-US" w:eastAsia="zh-CN" w:bidi="ar-SA"/>
          <w14:textFill>
            <w14:solidFill>
              <w14:schemeClr w14:val="tx1"/>
            </w14:solidFill>
          </w14:textFill>
        </w:rPr>
        <w:t>;</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全县在建工业项目保持在100个以上，确保年内投产50个、完成投资100亿元、新增产能200亿元以上；力争新上增资扩产项目20个，投资50亿元以上；滚动实施技改项目100个、竣工50个、完成投资48亿元以上。</w:t>
      </w: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二是大力开展招商引资。主攻重点区域，紧盯长三角、京津冀、珠三角等开放程度高、经济活力强、工业发展快的区域和地区，健全完善招商引资工作机制，突出专业招商、以商招商、招大引强，加快推动一批补链延链强链项目招引落地。三是推动项目建设提质增速。超前谋划储备项目，紧盯中央、省出台的一系列政策措施，逐条逐项进行研究，紧扣政策导向，精心策划、论证、储备一批打基础、利长远、增后劲的优质项目，强化项目立项、土地预审和环境评价等各项手续的完善，全力对上衔接，争取更多项目纳入国家和省市盘子，力争兰盛林木机械智造园等33个项目纳入省市重点项目。同时，积极争取中央和省预算内资金、地方政府专项债券、增发国债等政策性资金。坚持领导包保、专班推进、督导考核和“要素跟着项目走”等机制，</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推进和源制药、爱伦金属、恒昌清真食品等一批项目竣工投产，确保64个省市县三级重点项目上半年全部开工，</w:t>
      </w: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努力为项目建设和企业发展提供全方位、全周期的优质服务，让项目早落地开工、早投产达效。</w:t>
      </w:r>
    </w:p>
    <w:p w14:paraId="2881AA77">
      <w:pPr>
        <w:pStyle w:val="9"/>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600" w:lineRule="exact"/>
        <w:ind w:right="0" w:firstLine="643" w:firstLineChars="200"/>
        <w:jc w:val="both"/>
        <w:textAlignment w:val="auto"/>
        <w:rPr>
          <w:rFonts w:hint="eastAsia" w:eastAsia="仿宋_GB2312"/>
          <w:b/>
          <w:bCs/>
          <w:color w:val="000000" w:themeColor="text1"/>
          <w:spacing w:val="0"/>
          <w:ker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shd w:val="clear" w:color="auto" w:fill="auto"/>
          <w:lang w:val="en-US" w:eastAsia="zh-CN" w:bidi="ar-SA"/>
          <w14:textFill>
            <w14:solidFill>
              <w14:schemeClr w14:val="tx1"/>
            </w14:solidFill>
          </w14:textFill>
        </w:rPr>
        <w:t>（二）加快产业转型升级，构建现代化产业体系。</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一是提档升级传统产业</w:t>
      </w:r>
      <w:r>
        <w:rPr>
          <w:rFonts w:hint="eastAsia" w:ascii="仿宋_GB2312" w:hAnsi="仿宋_GB2312" w:eastAsia="仿宋_GB2312" w:cs="仿宋_GB2312"/>
          <w:b/>
          <w:bCs/>
          <w:color w:val="000000" w:themeColor="text1"/>
          <w:spacing w:val="0"/>
          <w:kern w:val="0"/>
          <w:sz w:val="32"/>
          <w:szCs w:val="32"/>
          <w14:textFill>
            <w14:solidFill>
              <w14:schemeClr w14:val="tx1"/>
            </w14:solidFill>
          </w14:textFill>
        </w:rPr>
        <w:t>。完善大中小企业梯次培育机制，建立企业技术改造动态项目库，着力培强木材加工、食品加工等优势突出、成长性好、带动力强的传统产业，进一步延长产业链条，健全产业生态圈，支持传统产业膨胀规模、转型升级。</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二是推进重点产业突破。坚持把化工产业作为支柱财源，持续推进化工园区规范化建设提升，</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加快500万条环保轮胎、一体化制氢、338万条轮胎产能置换等项目建设，力争营收突破120亿元。生物医药产业督促和源化学原料药、星代兰护理用品等项目全面投产，鑫齐药业中药制剂、格德生物医药中间体等项目达产达效，力争营收突破50亿元；机电设备产业加快智赛科技、杜赛房车、海德汽车零部件等项目建设进度，力争新增产能30亿元。</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三是培育壮大新兴产业。</w:t>
      </w:r>
      <w:r>
        <w:rPr>
          <w:rFonts w:hint="eastAsia" w:ascii="仿宋_GB2312" w:hAnsi="仿宋_GB2312" w:eastAsia="仿宋_GB2312" w:cs="仿宋_GB2312"/>
          <w:b/>
          <w:bCs/>
          <w:color w:val="000000" w:themeColor="text1"/>
          <w:spacing w:val="0"/>
          <w:kern w:val="0"/>
          <w:sz w:val="32"/>
          <w:szCs w:val="32"/>
          <w14:textFill>
            <w14:solidFill>
              <w14:schemeClr w14:val="tx1"/>
            </w14:solidFill>
          </w14:textFill>
        </w:rPr>
        <w:t>充分利用好我县风电、光电资源优势，围绕新一代信息技术，新能源、新材料等重点方向，进一步促进新兴产业优布局、上规模、提水平，培育新的增长点。</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推动石墨烯快充、无氧铜管、新能源充电桩、汽车电子元器件、传感器等项目，</w:t>
      </w:r>
      <w:r>
        <w:rPr>
          <w:rFonts w:hint="eastAsia" w:ascii="仿宋_GB2312" w:hAnsi="仿宋_GB2312" w:eastAsia="仿宋_GB2312" w:cs="仿宋_GB2312"/>
          <w:b/>
          <w:bCs/>
          <w:color w:val="000000" w:themeColor="text1"/>
          <w:spacing w:val="0"/>
          <w:kern w:val="0"/>
          <w:sz w:val="32"/>
          <w:szCs w:val="32"/>
          <w14:textFill>
            <w14:solidFill>
              <w14:schemeClr w14:val="tx1"/>
            </w14:solidFill>
          </w14:textFill>
        </w:rPr>
        <w:t>加快新能源电池、正负极材料、储能设备等项目落地进度，尽快形成竞争优势，力争新兴产业产值突破25亿元。</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四是加快产业</w:t>
      </w:r>
      <w:r>
        <w:rPr>
          <w:rFonts w:hint="eastAsia" w:ascii="仿宋_GB2312" w:hAnsi="仿宋_GB2312" w:eastAsia="仿宋_GB2312" w:cs="仿宋_GB2312"/>
          <w:b/>
          <w:bCs/>
          <w:color w:val="000000" w:themeColor="text1"/>
          <w:spacing w:val="0"/>
          <w:kern w:val="0"/>
          <w:sz w:val="32"/>
          <w:szCs w:val="32"/>
          <w14:textFill>
            <w14:solidFill>
              <w14:schemeClr w14:val="tx1"/>
            </w14:solidFill>
          </w14:textFill>
        </w:rPr>
        <w:t>数字赋能</w:t>
      </w:r>
      <w:r>
        <w:rPr>
          <w:rFonts w:hint="eastAsia" w:ascii="仿宋_GB2312" w:hAnsi="仿宋_GB2312" w:eastAsia="仿宋_GB2312" w:cs="仿宋_GB2312"/>
          <w:b/>
          <w:bCs/>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0"/>
          <w:sz w:val="32"/>
          <w:szCs w:val="32"/>
          <w14:textFill>
            <w14:solidFill>
              <w14:schemeClr w14:val="tx1"/>
            </w14:solidFill>
          </w14:textFill>
        </w:rPr>
        <w:t>加快推动产业数字化、数字产业化，深入实施制造业数字化转型行动，重点支持传统产业加快设备更新升级、扶持数字化装备及软件应用，引导企业“上云、用数、赋智”。支持企业申报专利、马德里商标，积极培育驰名商标、国家地理标志商标，着力推动传统产业向品牌化、高端化迈进。</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 xml:space="preserve">                       </w:t>
      </w:r>
      <w:r>
        <w:rPr>
          <w:rFonts w:hint="eastAsia" w:eastAsia="仿宋_GB2312"/>
          <w:b/>
          <w:bCs/>
          <w:color w:val="000000" w:themeColor="text1"/>
          <w:spacing w:val="0"/>
          <w:kern w:val="0"/>
          <w:sz w:val="32"/>
          <w:szCs w:val="32"/>
          <w:lang w:val="en-US" w:eastAsia="zh-CN"/>
          <w14:textFill>
            <w14:solidFill>
              <w14:schemeClr w14:val="tx1"/>
            </w14:solidFill>
          </w14:textFill>
        </w:rPr>
        <w:t xml:space="preserve">                                                                                                                                                                                                                                                                                                                                                                         </w:t>
      </w:r>
    </w:p>
    <w:p w14:paraId="3A1819CF">
      <w:pPr>
        <w:keepNext w:val="0"/>
        <w:keepLines w:val="0"/>
        <w:pageBreakBefore w:val="0"/>
        <w:widowControl w:val="0"/>
        <w:kinsoku/>
        <w:wordWrap/>
        <w:overflowPunct w:val="0"/>
        <w:topLinePunct w:val="0"/>
        <w:autoSpaceDE/>
        <w:autoSpaceDN/>
        <w:bidi w:val="0"/>
        <w:adjustRightInd w:val="0"/>
        <w:snapToGrid w:val="0"/>
        <w:spacing w:after="0" w:line="600" w:lineRule="exact"/>
        <w:ind w:firstLine="643" w:firstLineChars="200"/>
        <w:jc w:val="both"/>
        <w:textAlignment w:val="auto"/>
        <w:rPr>
          <w:rStyle w:val="16"/>
          <w:rFonts w:hint="eastAsia" w:ascii="仿宋_GB2312" w:hAnsi="仿宋_GB2312" w:eastAsia="仿宋_GB2312" w:cs="仿宋_GB2312"/>
          <w:b/>
          <w:bCs w:val="0"/>
          <w:color w:val="000000" w:themeColor="text1"/>
          <w:spacing w:val="0"/>
          <w:kern w:val="0"/>
          <w:sz w:val="32"/>
          <w:szCs w:val="32"/>
          <w:shd w:val="clear" w:color="auto" w:fill="FFFFFF"/>
          <w:lang w:val="en-US" w:eastAsia="zh-CN" w:bidi="ar-SA"/>
          <w14:textFill>
            <w14:solidFill>
              <w14:schemeClr w14:val="tx1"/>
            </w14:solidFill>
          </w14:textFill>
        </w:rPr>
      </w:pPr>
      <w:r>
        <w:rPr>
          <w:rStyle w:val="16"/>
          <w:rFonts w:hint="eastAsia" w:ascii="楷体_GB2312" w:hAnsi="楷体_GB2312" w:eastAsia="楷体_GB2312" w:cs="楷体_GB2312"/>
          <w:b/>
          <w:bCs w:val="0"/>
          <w:color w:val="000000" w:themeColor="text1"/>
          <w:spacing w:val="0"/>
          <w:kern w:val="0"/>
          <w:sz w:val="32"/>
          <w:szCs w:val="32"/>
          <w:shd w:val="clear" w:color="auto" w:fill="FFFFFF"/>
          <w:lang w:val="en-US" w:eastAsia="zh-CN" w:bidi="ar-SA"/>
          <w14:textFill>
            <w14:solidFill>
              <w14:schemeClr w14:val="tx1"/>
            </w14:solidFill>
          </w14:textFill>
        </w:rPr>
        <w:t>（三）深入实施乡村振兴，不断改善人居环境。</w:t>
      </w:r>
      <w:r>
        <w:rPr>
          <w:rFonts w:hint="eastAsia" w:ascii="仿宋_GB2312" w:hAnsi="仿宋_GB2312" w:eastAsia="仿宋_GB2312" w:cs="仿宋_GB2312"/>
          <w:b/>
          <w:bCs/>
          <w:color w:val="000000" w:themeColor="text1"/>
          <w:kern w:val="0"/>
          <w:sz w:val="32"/>
          <w:szCs w:val="32"/>
          <w14:textFill>
            <w14:solidFill>
              <w14:schemeClr w14:val="tx1"/>
            </w14:solidFill>
          </w14:textFill>
        </w:rPr>
        <w:t>一是持续抓好粮食生产。扛牢“粮食安全”重大责任，深入实施“藏粮于地、藏粮于技”战略，加强高标准农田和农田水利设施建设，强化农业科技和农机装备支撑，推进粮食生产绿色高质高效，</w:t>
      </w:r>
      <w:r>
        <w:rPr>
          <w:rStyle w:val="16"/>
          <w:rFonts w:hint="eastAsia" w:ascii="仿宋_GB2312" w:hAnsi="仿宋_GB2312" w:eastAsia="仿宋_GB2312" w:cs="仿宋_GB2312"/>
          <w:b/>
          <w:bCs/>
          <w:color w:val="000000" w:themeColor="text1"/>
          <w:spacing w:val="0"/>
          <w:kern w:val="0"/>
          <w:sz w:val="32"/>
          <w:szCs w:val="32"/>
          <w:shd w:val="clear" w:color="auto" w:fill="FFFFFF"/>
          <w:lang w:val="en-US" w:eastAsia="zh-CN" w:bidi="ar-SA"/>
          <w14:textFill>
            <w14:solidFill>
              <w14:schemeClr w14:val="tx1"/>
            </w14:solidFill>
          </w14:textFill>
        </w:rPr>
        <w:t>稳定粮食播种面积300万亩以上。</w:t>
      </w:r>
      <w:r>
        <w:rPr>
          <w:rStyle w:val="16"/>
          <w:rFonts w:hint="eastAsia" w:ascii="仿宋_GB2312" w:hAnsi="仿宋_GB2312" w:eastAsia="仿宋_GB2312" w:cs="仿宋_GB2312"/>
          <w:b/>
          <w:bCs w:val="0"/>
          <w:color w:val="000000" w:themeColor="text1"/>
          <w:spacing w:val="0"/>
          <w:kern w:val="0"/>
          <w:sz w:val="32"/>
          <w:szCs w:val="32"/>
          <w:shd w:val="clear" w:color="auto" w:fill="FFFFFF"/>
          <w:lang w:val="en-US" w:eastAsia="zh-CN" w:bidi="ar-SA"/>
          <w14:textFill>
            <w14:solidFill>
              <w14:schemeClr w14:val="tx1"/>
            </w14:solidFill>
          </w14:textFill>
        </w:rPr>
        <w:t>二是加快农业产业化发展。壮大银香伟业、永明粮油等龙头企业，建成恒昌高档生态肉牛精深加工项目，</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新增市级以上农业龙头企业2家。加快省级现代农业产业园建设，打造40个“共富工坊”、40个“共富村居”、4个“共富镇街”，新增家庭农场等新型经营主体20家，培育高素质农民660人。</w:t>
      </w:r>
      <w:r>
        <w:rPr>
          <w:rStyle w:val="16"/>
          <w:rFonts w:hint="eastAsia" w:ascii="仿宋_GB2312" w:hAnsi="仿宋_GB2312" w:eastAsia="仿宋_GB2312" w:cs="仿宋_GB2312"/>
          <w:b/>
          <w:bCs w:val="0"/>
          <w:color w:val="000000" w:themeColor="text1"/>
          <w:spacing w:val="0"/>
          <w:kern w:val="0"/>
          <w:sz w:val="32"/>
          <w:szCs w:val="32"/>
          <w:shd w:val="clear" w:color="auto" w:fill="FFFFFF"/>
          <w:lang w:val="en-US" w:eastAsia="zh-CN" w:bidi="ar-SA"/>
          <w14:textFill>
            <w14:solidFill>
              <w14:schemeClr w14:val="tx1"/>
            </w14:solidFill>
          </w14:textFill>
        </w:rPr>
        <w:t>三是推进城乡融合发展。统筹推进新型城镇化和乡村振兴战略，以我县城镇化建设省级试点为契机，着力推动城市基础实施向农村</w:t>
      </w:r>
      <w:r>
        <w:rPr>
          <w:rStyle w:val="16"/>
          <w:rFonts w:hint="eastAsia" w:ascii="仿宋_GB2312" w:hAnsi="仿宋_GB2312" w:eastAsia="仿宋_GB2312" w:cs="仿宋_GB2312"/>
          <w:b/>
          <w:bCs w:val="0"/>
          <w:color w:val="000000" w:themeColor="text1"/>
          <w:spacing w:val="-6"/>
          <w:kern w:val="0"/>
          <w:sz w:val="32"/>
          <w:szCs w:val="32"/>
          <w:shd w:val="clear" w:color="auto" w:fill="FFFFFF"/>
          <w:lang w:val="en-US" w:eastAsia="zh-CN" w:bidi="ar-SA"/>
          <w14:textFill>
            <w14:solidFill>
              <w14:schemeClr w14:val="tx1"/>
            </w14:solidFill>
          </w14:textFill>
        </w:rPr>
        <w:t>延伸、公共服务向农村覆盖、资源要素向农村流动，全面提升农村公共服务能力。四是建设生态宜居乡村。</w:t>
      </w:r>
      <w:r>
        <w:rPr>
          <w:rFonts w:hint="eastAsia" w:ascii="仿宋_GB2312" w:hAnsi="仿宋_GB2312" w:eastAsia="仿宋_GB2312" w:cs="仿宋_GB2312"/>
          <w:b/>
          <w:bCs w:val="0"/>
          <w:color w:val="000000" w:themeColor="text1"/>
          <w:spacing w:val="-6"/>
          <w:sz w:val="32"/>
          <w:szCs w:val="32"/>
          <w:lang w:val="en-US" w:eastAsia="zh-CN"/>
          <w14:textFill>
            <w14:solidFill>
              <w14:schemeClr w14:val="tx1"/>
            </w14:solidFill>
          </w14:textFill>
        </w:rPr>
        <w:t>新增省级农业产业强镇1个、省级乡土产业名品村10个。每个镇力争建成1条精品示范路、3个精品示范村，高标准建设5个省级、21个市级和美乡村。</w:t>
      </w:r>
    </w:p>
    <w:p w14:paraId="5FE6EB08">
      <w:pPr>
        <w:pStyle w:val="9"/>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600" w:lineRule="exact"/>
        <w:ind w:right="0" w:firstLine="643" w:firstLineChars="200"/>
        <w:jc w:val="both"/>
        <w:textAlignment w:val="auto"/>
        <w:rPr>
          <w:rStyle w:val="16"/>
          <w:rFonts w:hint="default" w:ascii="仿宋_GB2312" w:hAnsi="仿宋_GB2312" w:eastAsia="仿宋_GB2312" w:cs="仿宋_GB2312"/>
          <w:b/>
          <w:bCs w:val="0"/>
          <w:color w:val="000000" w:themeColor="text1"/>
          <w:spacing w:val="0"/>
          <w:kern w:val="0"/>
          <w:sz w:val="32"/>
          <w:szCs w:val="32"/>
          <w:shd w:val="clear" w:color="auto" w:fill="FFFFFF"/>
          <w:lang w:val="en-US" w:eastAsia="zh-CN" w:bidi="ar-SA"/>
          <w14:textFill>
            <w14:solidFill>
              <w14:schemeClr w14:val="tx1"/>
            </w14:solidFill>
          </w14:textFill>
        </w:rPr>
      </w:pPr>
      <w:r>
        <w:rPr>
          <w:rStyle w:val="16"/>
          <w:rFonts w:hint="eastAsia" w:ascii="楷体_GB2312" w:hAnsi="楷体_GB2312" w:eastAsia="楷体_GB2312" w:cs="楷体_GB2312"/>
          <w:b/>
          <w:bCs w:val="0"/>
          <w:color w:val="000000" w:themeColor="text1"/>
          <w:spacing w:val="0"/>
          <w:kern w:val="0"/>
          <w:sz w:val="32"/>
          <w:szCs w:val="32"/>
          <w:shd w:val="clear" w:color="auto" w:fill="FFFFFF"/>
          <w:lang w:val="en-US" w:eastAsia="zh-CN" w:bidi="ar-SA"/>
          <w14:textFill>
            <w14:solidFill>
              <w14:schemeClr w14:val="tx1"/>
            </w14:solidFill>
          </w14:textFill>
        </w:rPr>
        <w:t>（四）促进消费持续恢复向好，提升服务业发展能级。</w:t>
      </w:r>
      <w:r>
        <w:rPr>
          <w:rStyle w:val="16"/>
          <w:rFonts w:hint="eastAsia" w:ascii="仿宋_GB2312" w:hAnsi="仿宋_GB2312" w:eastAsia="仿宋_GB2312" w:cs="仿宋_GB2312"/>
          <w:b/>
          <w:bCs w:val="0"/>
          <w:color w:val="000000" w:themeColor="text1"/>
          <w:spacing w:val="0"/>
          <w:kern w:val="0"/>
          <w:sz w:val="32"/>
          <w:szCs w:val="32"/>
          <w:shd w:val="clear" w:color="auto" w:fill="FFFFFF"/>
          <w:lang w:val="en-US" w:eastAsia="zh-CN" w:bidi="ar-SA"/>
          <w14:textFill>
            <w14:solidFill>
              <w14:schemeClr w14:val="tx1"/>
            </w14:solidFill>
          </w14:textFill>
        </w:rPr>
        <w:t>一是推动消费扩容升级。持续优化消费环境，努力扩大县内消费，打造老商贸城、磐石新城、银座大润发、万达商城等“四大商圈”，大力发展夜经济、特色街区经济，确保新增批零住餐企业50家。高标准举办芦笋节、荷花节、电商节等活动，力争游客接待量增长20%以上、旅游收入增长30%以上。二是推动外贸稳量提质。组织实施境外市场开拓计划，更大力度拓展东盟、中亚、非洲等新兴市场，力争新增进出口实绩企业15家。不断扩大外资利用规模，确保实际利用外资6000万美元以上。培育壮大跨境电商、海外仓等新型贸易业态，力争实现跨境电商交易额</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增长15%以上</w:t>
      </w:r>
      <w:r>
        <w:rPr>
          <w:rStyle w:val="16"/>
          <w:rFonts w:hint="eastAsia" w:ascii="仿宋_GB2312" w:hAnsi="仿宋_GB2312" w:eastAsia="仿宋_GB2312" w:cs="仿宋_GB2312"/>
          <w:b/>
          <w:bCs w:val="0"/>
          <w:color w:val="000000" w:themeColor="text1"/>
          <w:spacing w:val="0"/>
          <w:kern w:val="0"/>
          <w:sz w:val="32"/>
          <w:szCs w:val="32"/>
          <w:shd w:val="clear" w:color="auto" w:fill="FFFFFF"/>
          <w:lang w:val="en-US" w:eastAsia="zh-CN" w:bidi="ar-SA"/>
          <w14:textFill>
            <w14:solidFill>
              <w14:schemeClr w14:val="tx1"/>
            </w14:solidFill>
          </w14:textFill>
        </w:rPr>
        <w:t>。三是做强现代物流业。加快推进广源陆港等项目建设，启动</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城东物流园和中俄“一带一路”高端智慧城</w:t>
      </w:r>
      <w:r>
        <w:rPr>
          <w:rStyle w:val="16"/>
          <w:rFonts w:hint="eastAsia" w:ascii="仿宋_GB2312" w:hAnsi="仿宋_GB2312" w:eastAsia="仿宋_GB2312" w:cs="仿宋_GB2312"/>
          <w:b/>
          <w:bCs w:val="0"/>
          <w:color w:val="000000" w:themeColor="text1"/>
          <w:spacing w:val="0"/>
          <w:kern w:val="0"/>
          <w:sz w:val="32"/>
          <w:szCs w:val="32"/>
          <w:shd w:val="clear" w:color="auto" w:fill="FFFFFF"/>
          <w:lang w:val="en-US" w:eastAsia="zh-CN" w:bidi="ar-SA"/>
          <w14:textFill>
            <w14:solidFill>
              <w14:schemeClr w14:val="tx1"/>
            </w14:solidFill>
          </w14:textFill>
        </w:rPr>
        <w:t>。提档升级现有农产品上行市场，培育冷链物流、供应链物流、网络平台货物运输等新业态，打造全国知名商贸集散地，力争完成商贸物流交易额700亿元以上。四是做优电商产业。完善提升电商平台，支持大宗商品线上交易、直播电商、社区电商发展，重点加快e裳之都·华服智创城项目建设，力争网络零售额增长12%以上、其中汉服销售额增长20%以上；加大电商主体培育力度，新增电商村30个、电商企业1000家。</w:t>
      </w:r>
    </w:p>
    <w:p w14:paraId="1BC4B307">
      <w:pPr>
        <w:keepNext w:val="0"/>
        <w:keepLines w:val="0"/>
        <w:pageBreakBefore w:val="0"/>
        <w:widowControl w:val="0"/>
        <w:kinsoku/>
        <w:wordWrap/>
        <w:overflowPunct w:val="0"/>
        <w:topLinePunct w:val="0"/>
        <w:autoSpaceDE/>
        <w:autoSpaceDN/>
        <w:bidi w:val="0"/>
        <w:adjustRightInd w:val="0"/>
        <w:snapToGrid w:val="0"/>
        <w:spacing w:after="0" w:line="600" w:lineRule="exact"/>
        <w:ind w:firstLine="643" w:firstLineChars="200"/>
        <w:jc w:val="both"/>
        <w:textAlignment w:val="auto"/>
        <w:rPr>
          <w:rFonts w:hint="eastAsia" w:ascii="仿宋_GB2312" w:hAnsi="仿宋_GB2312" w:eastAsia="仿宋_GB2312" w:cs="仿宋_GB2312"/>
          <w:b/>
          <w:bCs/>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五</w:t>
      </w:r>
      <w:r>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kern w:val="0"/>
          <w:sz w:val="32"/>
          <w:szCs w:val="32"/>
          <w14:textFill>
            <w14:solidFill>
              <w14:schemeClr w14:val="tx1"/>
            </w14:solidFill>
          </w14:textFill>
        </w:rPr>
        <w:t>建设高品质宜居城市</w:t>
      </w:r>
      <w:r>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完善城市承载能力。</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一是实施城区畅通行动。</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确保曲江路、金沙江路、普陀山路等6条道路建成通车，完成五台山路、昆仑山路、华山路等10条道路提升改造，全面启动高铁新区站前路、站南路等4条道路，逐步实现城区道路互联互通。</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二是</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提高城市经营水平。科学有序实施城市更新行动，积极推进“保交楼”，加快安置房建设，制定有利于房产高质量发展的政策，加大优秀房产企业招引力度，</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加快国开花园、袁岔楼等安置区建设，年内建成交付安置房7597套、74.5万平方米；新建商品房开工90万平方米、竣工120万平方米；完成商品房销售7900套和“保交楼”任务14532套。</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三是提升</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城市</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绿化质量</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0"/>
          <w:sz w:val="32"/>
          <w:szCs w:val="32"/>
          <w:lang w:val="en-US" w:eastAsia="zh-CN" w:bidi="ar"/>
          <w14:textFill>
            <w14:solidFill>
              <w14:schemeClr w14:val="tx1"/>
            </w14:solidFill>
          </w14:textFill>
        </w:rPr>
        <w:t>采取“街角辟绿、见缝插绿、拆围透绿”等多种形式，高标准建设一批口袋公园、拇指公园、带状公园。加大新建道路绿化，对提升改造道路进行绿化升级，确保年内新增绿化5万平方米以上。四是抓好基础设施建设。加速构建立体交通网络，全力加快雄商高铁、济商高速、徐民高速等重大交通基础设施建设，开</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工S318郯兰线成武界至钟口段改建工程</w:t>
      </w:r>
      <w:r>
        <w:rPr>
          <w:rFonts w:hint="eastAsia" w:ascii="仿宋_GB2312" w:hAnsi="仿宋_GB2312" w:eastAsia="仿宋_GB2312" w:cs="仿宋_GB2312"/>
          <w:b/>
          <w:bCs/>
          <w:color w:val="000000" w:themeColor="text1"/>
          <w:spacing w:val="0"/>
          <w:kern w:val="0"/>
          <w:sz w:val="32"/>
          <w:szCs w:val="32"/>
          <w:lang w:val="en-US" w:eastAsia="zh-CN" w:bidi="ar"/>
          <w14:textFill>
            <w14:solidFill>
              <w14:schemeClr w14:val="tx1"/>
            </w14:solidFill>
          </w14:textFill>
        </w:rPr>
        <w:t>，全面完成G220东深线化工园区段改建工程前期工作。全力补齐农村基础设施短板，新修农村天然气中压管网15公里，修建农村生产道路114公里，修建农田桥涵288座，新清淤河道30公里，清淤疏浚田间沟渠96公里，新打机井1566眼，完成4座危桥改造加固。</w:t>
      </w:r>
    </w:p>
    <w:p w14:paraId="1B5B6656">
      <w:pPr>
        <w:keepNext w:val="0"/>
        <w:keepLines w:val="0"/>
        <w:pageBreakBefore w:val="0"/>
        <w:widowControl w:val="0"/>
        <w:kinsoku/>
        <w:wordWrap/>
        <w:overflowPunct w:val="0"/>
        <w:topLinePunct w:val="0"/>
        <w:autoSpaceDE/>
        <w:autoSpaceDN/>
        <w:bidi w:val="0"/>
        <w:adjustRightInd w:val="0"/>
        <w:snapToGrid w:val="0"/>
        <w:spacing w:after="0" w:line="600" w:lineRule="exact"/>
        <w:ind w:firstLine="643" w:firstLineChars="200"/>
        <w:jc w:val="both"/>
        <w:textAlignment w:val="auto"/>
        <w:rPr>
          <w:rFonts w:hint="default" w:ascii="仿宋_GB2312" w:hAnsi="仿宋_GB2312" w:eastAsia="仿宋_GB2312" w:cs="仿宋_GB2312"/>
          <w:b/>
          <w:bCs/>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spacing w:val="0"/>
          <w:kern w:val="0"/>
          <w:sz w:val="32"/>
          <w:szCs w:val="32"/>
          <w:lang w:val="en-US" w:eastAsia="zh-CN" w:bidi="ar"/>
          <w14:textFill>
            <w14:solidFill>
              <w14:schemeClr w14:val="tx1"/>
            </w14:solidFill>
          </w14:textFill>
        </w:rPr>
        <w:t>（六）强化重点领域改革，激发市场内生动力。</w:t>
      </w:r>
      <w:r>
        <w:rPr>
          <w:rFonts w:hint="eastAsia" w:ascii="仿宋_GB2312" w:hAnsi="仿宋_GB2312" w:eastAsia="仿宋_GB2312" w:cs="仿宋_GB2312"/>
          <w:b/>
          <w:bCs/>
          <w:color w:val="000000" w:themeColor="text1"/>
          <w:spacing w:val="0"/>
          <w:kern w:val="0"/>
          <w:sz w:val="32"/>
          <w:szCs w:val="32"/>
          <w:lang w:val="en-US" w:eastAsia="zh-CN" w:bidi="ar"/>
          <w14:textFill>
            <w14:solidFill>
              <w14:schemeClr w14:val="tx1"/>
            </w14:solidFill>
          </w14:textFill>
        </w:rPr>
        <w:t>一是持续优化营商环境。扎实推进“高效办成一件事”，深入实施“三亮”专题行动，加快政府守信践诺机制建设，实施联合奖惩，推进信用修复，拓展“信用+”应用场景，强化经济宣传和舆论引导，积极传播正能量，有效稳定社会预期。二是发展壮大民营经济。优化民营经济发展环境，</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全方位鼓励支持民营经济和民营企业发展壮大，实施企业家培育工程，完善中小微企业纾困帮扶机制，创新金融辅导、金融管家服务，提升企业融资生态。三是着力推进数字曹县建设。加快政务服务“一网通办”，围绕教育、医疗、出行、社保、养老等领域，打造一批智慧化应用场景，逐步实现全民健康数字档案全覆盖，有序推进智慧停车、智慧交通体系建设，提高数字便民服务水平。</w:t>
      </w:r>
      <w:r>
        <w:rPr>
          <w:rFonts w:hint="eastAsia" w:ascii="仿宋_GB2312" w:hAnsi="仿宋_GB2312" w:eastAsia="仿宋_GB2312" w:cs="仿宋_GB2312"/>
          <w:b/>
          <w:bCs/>
          <w:color w:val="000000" w:themeColor="text1"/>
          <w:spacing w:val="0"/>
          <w:kern w:val="0"/>
          <w:sz w:val="32"/>
          <w:szCs w:val="32"/>
          <w:lang w:val="en-US" w:eastAsia="zh-CN" w:bidi="ar"/>
          <w14:textFill>
            <w14:solidFill>
              <w14:schemeClr w14:val="tx1"/>
            </w14:solidFill>
          </w14:textFill>
        </w:rPr>
        <w:t>同时，落实好黄河流域生态保护和高质量发展等国家战略，实施好“突破菏泽”三年行动计划，加快释放政策红利。</w:t>
      </w:r>
    </w:p>
    <w:p w14:paraId="59807E16">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（七）推进社会事业均衡发展，持续改善民生。</w:t>
      </w:r>
      <w:r>
        <w:rPr>
          <w:rStyle w:val="16"/>
          <w:rFonts w:hint="eastAsia" w:ascii="仿宋_GB2312" w:hAnsi="仿宋_GB2312" w:eastAsia="仿宋_GB2312" w:cs="仿宋_GB2312"/>
          <w:b/>
          <w:bCs w:val="0"/>
          <w:color w:val="000000" w:themeColor="text1"/>
          <w:spacing w:val="0"/>
          <w:kern w:val="0"/>
          <w:sz w:val="32"/>
          <w:szCs w:val="32"/>
          <w:shd w:val="clear" w:color="auto" w:fill="FFFFFF"/>
          <w:lang w:val="en-US" w:eastAsia="zh-CN" w:bidi="ar-SA"/>
          <w14:textFill>
            <w14:solidFill>
              <w14:schemeClr w14:val="tx1"/>
            </w14:solidFill>
          </w14:textFill>
        </w:rPr>
        <w:t>一是持续抓好就业创业。</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大力开展企业用工保障服务专项行动、公益性岗位扩容提质行动，新增城镇就业1.1万人。二是促进教育优先发展。加快推动学校建设，</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昆仑山路小学等5处学校秋季开学前投入使用，</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新增学位6360个。加强公办高中建设，曹县一中北校区秋季开学投用。进一步充实师资力量，招聘中小学教师500名。三是完善公共卫生体系。深化县域紧密型医共体建设，推进县域分级诊疗，实现医疗资源合理配置。启动人民医院和中医院老院区提升改造，县传染病医院、县疾控中心、第二人民医院投入使用。四是提升社会保障水平。持续完善低保、临时救助等制度，做好低收入群体、残疾人、高龄老年人等困难群体救助救急工作。深入实施全民参保计划，积极培育养老新业态。常态化推进扫黑除恶斗争，强力整治电信网络诈骗犯罪，加强交通、燃气、消防、建筑施工、危险化学品等重点领域安全隐患排查，强化安全教育、管理和监督，守牢安全生产、生态环保、信访维稳等一排底线，努力营造安全稳定的社会环境。同时，统筹做好国防动员、人防消防、退役军人、妇女儿童、老龄慈善、地震气象、民族宗教、外事侨务、档案史志等各项工作。</w:t>
      </w:r>
    </w:p>
    <w:p w14:paraId="29742A87">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b/>
          <w:bCs/>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bidi="ar-SA"/>
          <w14:textFill>
            <w14:solidFill>
              <w14:schemeClr w14:val="tx1"/>
            </w14:solidFill>
          </w14:textFill>
        </w:rPr>
        <w:t>各位代表，做好2024年经济社会发展工作意义重大、任务艰巨、使命光荣。让我们更加紧密地团结在以习近平同志为核心的党中央周围，在县委、县政府的坚强领导下，在县人大的监督支持下，真抓实干、攻坚克难、开拓创新，为全力推进曹县经济社会高质量发展而不懈奋斗！</w:t>
      </w:r>
    </w:p>
    <w:p w14:paraId="46BC460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kern w:val="0"/>
          <w:sz w:val="32"/>
          <w:szCs w:val="32"/>
        </w:rPr>
      </w:pPr>
    </w:p>
    <w:p w14:paraId="436F7483">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17BFDE54">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2394B2A0">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09FF7FD5">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7F9048F3">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04B1098D">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2740F8F0">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70041E45">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7F485A41">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572530E9">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48B08A72">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795A2B12">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5040C1B7">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73225554">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3B31D726">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3FD017D4">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4B091F07">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57C0CDBF">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16F3977B">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3FB139D4">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7BAC2026">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2E09B7B9">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14282F7B">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3C5AAD78">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69F4F67A">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7E1B2014">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0A44D4A8">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700DA0D7">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0FA53DBE">
      <w:pPr>
        <w:pStyle w:val="10"/>
        <w:keepNext w:val="0"/>
        <w:keepLines w:val="0"/>
        <w:pageBreakBefore w:val="0"/>
        <w:widowControl w:val="0"/>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3BEAD51C">
      <w:pPr>
        <w:pStyle w:val="10"/>
        <w:keepNext w:val="0"/>
        <w:keepLines w:val="0"/>
        <w:pageBreakBefore w:val="0"/>
        <w:widowControl w:val="0"/>
        <w:kinsoku/>
        <w:wordWrap/>
        <w:overflowPunct/>
        <w:topLinePunct w:val="0"/>
        <w:autoSpaceDE/>
        <w:autoSpaceDN/>
        <w:bidi w:val="0"/>
        <w:adjustRightInd/>
        <w:snapToGrid/>
        <w:spacing w:line="680" w:lineRule="exact"/>
        <w:ind w:left="0" w:leftChars="0" w:firstLine="640" w:firstLineChars="200"/>
        <w:textAlignment w:val="auto"/>
        <w:rPr>
          <w:rFonts w:hint="eastAsia" w:ascii="仿宋_GB2312" w:hAnsi="仿宋_GB2312" w:eastAsia="仿宋_GB2312" w:cs="仿宋_GB2312"/>
          <w:color w:val="auto"/>
          <w:kern w:val="21"/>
          <w:sz w:val="32"/>
          <w:szCs w:val="32"/>
        </w:rPr>
      </w:pPr>
    </w:p>
    <w:p w14:paraId="5A96E69A">
      <w:pPr>
        <w:adjustRightInd w:val="0"/>
        <w:snapToGrid w:val="0"/>
        <w:spacing w:line="580" w:lineRule="exact"/>
        <w:jc w:val="center"/>
        <w:rPr>
          <w:rFonts w:hint="eastAsia" w:ascii="仿宋_GB2312" w:hAnsi="仿宋_GB2312" w:eastAsia="仿宋_GB2312" w:cs="仿宋_GB2312"/>
          <w:color w:val="auto"/>
          <w:kern w:val="21"/>
          <w:sz w:val="32"/>
          <w:szCs w:val="32"/>
        </w:rPr>
      </w:pPr>
      <w:r>
        <w:rPr>
          <w:b/>
          <w:bCs/>
          <w:sz w:val="32"/>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403225</wp:posOffset>
                </wp:positionV>
                <wp:extent cx="5747385" cy="635"/>
                <wp:effectExtent l="0" t="10795" r="5715" b="17145"/>
                <wp:wrapNone/>
                <wp:docPr id="3" name="直接连接符 3"/>
                <wp:cNvGraphicFramePr/>
                <a:graphic xmlns:a="http://schemas.openxmlformats.org/drawingml/2006/main">
                  <a:graphicData uri="http://schemas.microsoft.com/office/word/2010/wordprocessingShape">
                    <wps:wsp>
                      <wps:cNvCnPr/>
                      <wps:spPr>
                        <a:xfrm>
                          <a:off x="0" y="0"/>
                          <a:ext cx="5747385" cy="635"/>
                        </a:xfrm>
                        <a:prstGeom prst="line">
                          <a:avLst/>
                        </a:prstGeom>
                        <a:ln w="222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1pt;margin-top:31.75pt;height:0.05pt;width:452.55pt;z-index:251661312;mso-width-relative:page;mso-height-relative:page;" filled="f" stroked="t" coordsize="21600,21600" o:gfxdata="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P32&#10;79UAAAAGAQAADwAAAAAAAAABACAAAAAiAAAAZHJzL2Rvd25yZXYueG1sUEsBAhQAFAAAAAgAh07i&#10;QCtR54TsAQAA2wMAAA4AAAAAAAAAAQAgAAAAJAEAAGRycy9lMm9Eb2MueG1sUEsFBgAAAAAGAAYA&#10;WQEAAIIFAAAAAA==&#10;">
                <v:fill on="f" focussize="0,0"/>
                <v:stroke weight="1.75pt" color="#000000" joinstyle="round"/>
                <v:imagedata o:title=""/>
                <o:lock v:ext="edit" aspectratio="f"/>
              </v:line>
            </w:pict>
          </mc:Fallback>
        </mc:AlternateContent>
      </w:r>
      <w:r>
        <w:rPr>
          <w:b/>
          <w:bCs/>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5080</wp:posOffset>
                </wp:positionV>
                <wp:extent cx="5747385" cy="635"/>
                <wp:effectExtent l="0" t="10795" r="5715" b="17145"/>
                <wp:wrapNone/>
                <wp:docPr id="6" name="直接连接符 6"/>
                <wp:cNvGraphicFramePr/>
                <a:graphic xmlns:a="http://schemas.openxmlformats.org/drawingml/2006/main">
                  <a:graphicData uri="http://schemas.microsoft.com/office/word/2010/wordprocessingShape">
                    <wps:wsp>
                      <wps:cNvCnPr/>
                      <wps:spPr>
                        <a:xfrm>
                          <a:off x="0" y="0"/>
                          <a:ext cx="5747385" cy="635"/>
                        </a:xfrm>
                        <a:prstGeom prst="line">
                          <a:avLst/>
                        </a:prstGeom>
                        <a:ln w="222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1pt;margin-top:0.4pt;height:0.05pt;width:452.55pt;z-index:251660288;mso-width-relative:page;mso-height-relative:page;" filled="f" stroked="t" coordsize="21600,21600" o:gfxdata="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eaPmdIA&#10;AAACAQAADwAAAAAAAAABACAAAAAiAAAAZHJzL2Rvd25yZXYueG1sUEsBAhQAFAAAAAgAh07iQNjk&#10;8U3sAQAA2wMAAA4AAAAAAAAAAQAgAAAAIQEAAGRycy9lMm9Eb2MueG1sUEsFBgAAAAAGAAYAWQEA&#10;AH8FAAAAAA==&#10;">
                <v:fill on="f" focussize="0,0"/>
                <v:stroke weight="1.75pt" color="#000000" joinstyle="round"/>
                <v:imagedata o:title=""/>
                <o:lock v:ext="edit" aspectratio="f"/>
              </v:line>
            </w:pict>
          </mc:Fallback>
        </mc:AlternateContent>
      </w:r>
      <w:r>
        <w:rPr>
          <w:rFonts w:hint="eastAsia" w:ascii="仿宋_GB2312" w:hAnsi="宋体" w:eastAsia="仿宋_GB2312" w:cs="宋体"/>
          <w:b/>
          <w:bCs/>
          <w:kern w:val="0"/>
          <w:sz w:val="30"/>
          <w:szCs w:val="30"/>
        </w:rPr>
        <w:t>县十八届人大</w:t>
      </w:r>
      <w:r>
        <w:rPr>
          <w:rFonts w:hint="eastAsia" w:ascii="仿宋_GB2312" w:hAnsi="宋体" w:eastAsia="仿宋_GB2312" w:cs="宋体"/>
          <w:b/>
          <w:bCs/>
          <w:kern w:val="0"/>
          <w:sz w:val="30"/>
          <w:szCs w:val="30"/>
          <w:lang w:val="en-US" w:eastAsia="zh-CN"/>
        </w:rPr>
        <w:t>三</w:t>
      </w:r>
      <w:r>
        <w:rPr>
          <w:rFonts w:hint="eastAsia" w:ascii="仿宋_GB2312" w:hAnsi="宋体" w:eastAsia="仿宋_GB2312" w:cs="宋体"/>
          <w:b/>
          <w:bCs/>
          <w:kern w:val="0"/>
          <w:sz w:val="30"/>
          <w:szCs w:val="30"/>
        </w:rPr>
        <w:t>次会议秘书处                202</w:t>
      </w:r>
      <w:r>
        <w:rPr>
          <w:rFonts w:hint="eastAsia" w:ascii="仿宋_GB2312" w:hAnsi="宋体" w:eastAsia="仿宋_GB2312" w:cs="宋体"/>
          <w:b/>
          <w:bCs/>
          <w:kern w:val="0"/>
          <w:sz w:val="30"/>
          <w:szCs w:val="30"/>
          <w:lang w:val="en-US" w:eastAsia="zh-CN"/>
        </w:rPr>
        <w:t>4</w:t>
      </w:r>
      <w:r>
        <w:rPr>
          <w:rFonts w:hint="eastAsia" w:ascii="仿宋_GB2312" w:hAnsi="宋体" w:eastAsia="仿宋_GB2312" w:cs="宋体"/>
          <w:b/>
          <w:bCs/>
          <w:kern w:val="0"/>
          <w:sz w:val="30"/>
          <w:szCs w:val="30"/>
        </w:rPr>
        <w:t>年</w:t>
      </w:r>
      <w:r>
        <w:rPr>
          <w:rFonts w:hint="eastAsia" w:ascii="仿宋_GB2312" w:hAnsi="宋体" w:eastAsia="仿宋_GB2312" w:cs="宋体"/>
          <w:b/>
          <w:bCs/>
          <w:kern w:val="0"/>
          <w:sz w:val="30"/>
          <w:szCs w:val="30"/>
          <w:lang w:val="en-US" w:eastAsia="zh-CN"/>
        </w:rPr>
        <w:t>1</w:t>
      </w:r>
      <w:r>
        <w:rPr>
          <w:rFonts w:hint="eastAsia" w:ascii="仿宋_GB2312" w:hAnsi="宋体" w:eastAsia="仿宋_GB2312" w:cs="宋体"/>
          <w:b/>
          <w:bCs/>
          <w:kern w:val="0"/>
          <w:sz w:val="30"/>
          <w:szCs w:val="30"/>
        </w:rPr>
        <w:t>月</w:t>
      </w:r>
      <w:r>
        <w:rPr>
          <w:rFonts w:hint="eastAsia" w:ascii="仿宋_GB2312" w:hAnsi="宋体" w:eastAsia="仿宋_GB2312" w:cs="宋体"/>
          <w:b/>
          <w:bCs/>
          <w:kern w:val="0"/>
          <w:sz w:val="30"/>
          <w:szCs w:val="30"/>
          <w:lang w:val="en-US" w:eastAsia="zh-CN"/>
        </w:rPr>
        <w:t>15</w:t>
      </w:r>
      <w:r>
        <w:rPr>
          <w:rFonts w:hint="eastAsia" w:ascii="仿宋_GB2312" w:hAnsi="宋体" w:eastAsia="仿宋_GB2312" w:cs="宋体"/>
          <w:b/>
          <w:bCs/>
          <w:kern w:val="0"/>
          <w:sz w:val="30"/>
          <w:szCs w:val="30"/>
        </w:rPr>
        <w:t>日</w:t>
      </w:r>
    </w:p>
    <w:sectPr>
      <w:footerReference r:id="rId3" w:type="default"/>
      <w:pgSz w:w="11906" w:h="16838"/>
      <w:pgMar w:top="1984" w:right="1417" w:bottom="141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EB8F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58414">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D58414">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NjI5OTk4MTE1M2I2MWM5MzM4MDZmMmNkYmE1MzgifQ=="/>
  </w:docVars>
  <w:rsids>
    <w:rsidRoot w:val="670D6570"/>
    <w:rsid w:val="000A3310"/>
    <w:rsid w:val="000B6281"/>
    <w:rsid w:val="002235CA"/>
    <w:rsid w:val="00367BBF"/>
    <w:rsid w:val="00577718"/>
    <w:rsid w:val="005D2854"/>
    <w:rsid w:val="00665BAD"/>
    <w:rsid w:val="00B52690"/>
    <w:rsid w:val="00BC57CD"/>
    <w:rsid w:val="010333FC"/>
    <w:rsid w:val="01443FE5"/>
    <w:rsid w:val="01453A14"/>
    <w:rsid w:val="01657C13"/>
    <w:rsid w:val="01C614F6"/>
    <w:rsid w:val="01CA3F1A"/>
    <w:rsid w:val="01CE2522"/>
    <w:rsid w:val="01EC20E2"/>
    <w:rsid w:val="02072A78"/>
    <w:rsid w:val="02247ACE"/>
    <w:rsid w:val="02702D13"/>
    <w:rsid w:val="02C848FD"/>
    <w:rsid w:val="02D0730E"/>
    <w:rsid w:val="02DA018C"/>
    <w:rsid w:val="02E5725D"/>
    <w:rsid w:val="030376E3"/>
    <w:rsid w:val="03563CB7"/>
    <w:rsid w:val="03EE0393"/>
    <w:rsid w:val="03F434F8"/>
    <w:rsid w:val="03F51722"/>
    <w:rsid w:val="0449381C"/>
    <w:rsid w:val="047D5273"/>
    <w:rsid w:val="04A97524"/>
    <w:rsid w:val="04DA26C6"/>
    <w:rsid w:val="055406CA"/>
    <w:rsid w:val="0575419C"/>
    <w:rsid w:val="058B39C0"/>
    <w:rsid w:val="059D3E1F"/>
    <w:rsid w:val="05BC1DCB"/>
    <w:rsid w:val="05C173E2"/>
    <w:rsid w:val="05DE0DAD"/>
    <w:rsid w:val="060E6ACB"/>
    <w:rsid w:val="064131F3"/>
    <w:rsid w:val="066A7A79"/>
    <w:rsid w:val="069D7E4F"/>
    <w:rsid w:val="06B55198"/>
    <w:rsid w:val="06DE46EF"/>
    <w:rsid w:val="06E21E94"/>
    <w:rsid w:val="07342561"/>
    <w:rsid w:val="076369A2"/>
    <w:rsid w:val="076B1CFB"/>
    <w:rsid w:val="0797489E"/>
    <w:rsid w:val="07AB0349"/>
    <w:rsid w:val="07BF4B3B"/>
    <w:rsid w:val="07C41750"/>
    <w:rsid w:val="07EC2E3C"/>
    <w:rsid w:val="08017F69"/>
    <w:rsid w:val="0822060B"/>
    <w:rsid w:val="085602B5"/>
    <w:rsid w:val="087B41C0"/>
    <w:rsid w:val="08E104C7"/>
    <w:rsid w:val="094B1DE4"/>
    <w:rsid w:val="09572537"/>
    <w:rsid w:val="098F1CD1"/>
    <w:rsid w:val="09AA4D5C"/>
    <w:rsid w:val="09C94AB7"/>
    <w:rsid w:val="0A5C592B"/>
    <w:rsid w:val="0A7809B7"/>
    <w:rsid w:val="0A7B04A7"/>
    <w:rsid w:val="0AAA6BE4"/>
    <w:rsid w:val="0ABF0394"/>
    <w:rsid w:val="0AE0655C"/>
    <w:rsid w:val="0B0B182B"/>
    <w:rsid w:val="0B0C55A3"/>
    <w:rsid w:val="0B906A0A"/>
    <w:rsid w:val="0BD22349"/>
    <w:rsid w:val="0C0D512F"/>
    <w:rsid w:val="0C5B0590"/>
    <w:rsid w:val="0C93244B"/>
    <w:rsid w:val="0C9E047D"/>
    <w:rsid w:val="0D1C7510"/>
    <w:rsid w:val="0D305579"/>
    <w:rsid w:val="0D3D7C96"/>
    <w:rsid w:val="0D58062B"/>
    <w:rsid w:val="0D8E04F1"/>
    <w:rsid w:val="0DA970D9"/>
    <w:rsid w:val="0DF30354"/>
    <w:rsid w:val="0E5D76EA"/>
    <w:rsid w:val="0E5E1C72"/>
    <w:rsid w:val="0E8D07A9"/>
    <w:rsid w:val="0ECC12D1"/>
    <w:rsid w:val="0EEF4FBF"/>
    <w:rsid w:val="0EFF7422"/>
    <w:rsid w:val="0F184516"/>
    <w:rsid w:val="0F5C679A"/>
    <w:rsid w:val="0F73799F"/>
    <w:rsid w:val="0FD0094D"/>
    <w:rsid w:val="0FD348E1"/>
    <w:rsid w:val="0FDC19E8"/>
    <w:rsid w:val="0FEF171B"/>
    <w:rsid w:val="10142F30"/>
    <w:rsid w:val="10411BAD"/>
    <w:rsid w:val="10B31BEF"/>
    <w:rsid w:val="10E8616A"/>
    <w:rsid w:val="11001706"/>
    <w:rsid w:val="110C00AB"/>
    <w:rsid w:val="11160F29"/>
    <w:rsid w:val="119B31DD"/>
    <w:rsid w:val="11B06C88"/>
    <w:rsid w:val="12054771"/>
    <w:rsid w:val="120E18B1"/>
    <w:rsid w:val="121511E1"/>
    <w:rsid w:val="12394ECF"/>
    <w:rsid w:val="12CF313E"/>
    <w:rsid w:val="133C1774"/>
    <w:rsid w:val="13495848"/>
    <w:rsid w:val="137B1518"/>
    <w:rsid w:val="13871C6A"/>
    <w:rsid w:val="13F866C4"/>
    <w:rsid w:val="14417931"/>
    <w:rsid w:val="1459015C"/>
    <w:rsid w:val="146975C2"/>
    <w:rsid w:val="14847F58"/>
    <w:rsid w:val="1494463F"/>
    <w:rsid w:val="14E46972"/>
    <w:rsid w:val="14FB2910"/>
    <w:rsid w:val="15051099"/>
    <w:rsid w:val="1514752E"/>
    <w:rsid w:val="154A11A2"/>
    <w:rsid w:val="15602773"/>
    <w:rsid w:val="15616A53"/>
    <w:rsid w:val="156C55BC"/>
    <w:rsid w:val="15854EAB"/>
    <w:rsid w:val="15E2762C"/>
    <w:rsid w:val="15F630D7"/>
    <w:rsid w:val="15FF1F8C"/>
    <w:rsid w:val="1606331B"/>
    <w:rsid w:val="1635775C"/>
    <w:rsid w:val="168123C1"/>
    <w:rsid w:val="16922E00"/>
    <w:rsid w:val="169C3C7F"/>
    <w:rsid w:val="16A42B33"/>
    <w:rsid w:val="1726179A"/>
    <w:rsid w:val="173D7210"/>
    <w:rsid w:val="176522C3"/>
    <w:rsid w:val="176D73C9"/>
    <w:rsid w:val="17732C32"/>
    <w:rsid w:val="181A12FF"/>
    <w:rsid w:val="181D2B9D"/>
    <w:rsid w:val="183028D1"/>
    <w:rsid w:val="18574301"/>
    <w:rsid w:val="186E51A7"/>
    <w:rsid w:val="18725A29"/>
    <w:rsid w:val="18D23988"/>
    <w:rsid w:val="19162CB4"/>
    <w:rsid w:val="19202945"/>
    <w:rsid w:val="195051E7"/>
    <w:rsid w:val="19550115"/>
    <w:rsid w:val="195E6FCA"/>
    <w:rsid w:val="198033E4"/>
    <w:rsid w:val="198253AE"/>
    <w:rsid w:val="199364A5"/>
    <w:rsid w:val="19C474E8"/>
    <w:rsid w:val="1A1104E0"/>
    <w:rsid w:val="1A644AB4"/>
    <w:rsid w:val="1A91517D"/>
    <w:rsid w:val="1AA44EB0"/>
    <w:rsid w:val="1AF35E37"/>
    <w:rsid w:val="1B375D24"/>
    <w:rsid w:val="1BA23AE5"/>
    <w:rsid w:val="1BC752FA"/>
    <w:rsid w:val="1BD6378F"/>
    <w:rsid w:val="1BE6635A"/>
    <w:rsid w:val="1C346708"/>
    <w:rsid w:val="1C4A7CD9"/>
    <w:rsid w:val="1C640D9B"/>
    <w:rsid w:val="1C9C1568"/>
    <w:rsid w:val="1CA218C3"/>
    <w:rsid w:val="1D1722B1"/>
    <w:rsid w:val="1D4A4435"/>
    <w:rsid w:val="1D552DD9"/>
    <w:rsid w:val="1D9B6A3E"/>
    <w:rsid w:val="1DD07933"/>
    <w:rsid w:val="1DE303E5"/>
    <w:rsid w:val="1E3D7AF5"/>
    <w:rsid w:val="1E635082"/>
    <w:rsid w:val="1E892D3B"/>
    <w:rsid w:val="1EB51D82"/>
    <w:rsid w:val="1EE61F3B"/>
    <w:rsid w:val="1F6D440A"/>
    <w:rsid w:val="1F8654CC"/>
    <w:rsid w:val="1F9A6382"/>
    <w:rsid w:val="205E54D6"/>
    <w:rsid w:val="20653333"/>
    <w:rsid w:val="214B077B"/>
    <w:rsid w:val="217A3117"/>
    <w:rsid w:val="217C26E3"/>
    <w:rsid w:val="21AB746C"/>
    <w:rsid w:val="21E12E8E"/>
    <w:rsid w:val="21F04E7F"/>
    <w:rsid w:val="21FC1A76"/>
    <w:rsid w:val="22146DBF"/>
    <w:rsid w:val="22590C76"/>
    <w:rsid w:val="22883309"/>
    <w:rsid w:val="22A5210D"/>
    <w:rsid w:val="22DE79EC"/>
    <w:rsid w:val="22F8048F"/>
    <w:rsid w:val="232C0139"/>
    <w:rsid w:val="234611FA"/>
    <w:rsid w:val="23492A98"/>
    <w:rsid w:val="23616034"/>
    <w:rsid w:val="236D2C2B"/>
    <w:rsid w:val="237C4C1C"/>
    <w:rsid w:val="23890A56"/>
    <w:rsid w:val="23BA3996"/>
    <w:rsid w:val="23F956E8"/>
    <w:rsid w:val="24013373"/>
    <w:rsid w:val="242332EA"/>
    <w:rsid w:val="24417B67"/>
    <w:rsid w:val="24635DDC"/>
    <w:rsid w:val="246D27B7"/>
    <w:rsid w:val="24C04FDC"/>
    <w:rsid w:val="24E54A43"/>
    <w:rsid w:val="24E72569"/>
    <w:rsid w:val="2504136D"/>
    <w:rsid w:val="254A2AF8"/>
    <w:rsid w:val="25537BFE"/>
    <w:rsid w:val="25B508B9"/>
    <w:rsid w:val="25DF76E4"/>
    <w:rsid w:val="25F34F3E"/>
    <w:rsid w:val="26906C30"/>
    <w:rsid w:val="269C3827"/>
    <w:rsid w:val="26B75F6B"/>
    <w:rsid w:val="26D144D4"/>
    <w:rsid w:val="26E03636"/>
    <w:rsid w:val="270513CC"/>
    <w:rsid w:val="274E4B21"/>
    <w:rsid w:val="276D21F3"/>
    <w:rsid w:val="27846795"/>
    <w:rsid w:val="27BB0DA8"/>
    <w:rsid w:val="27D8088F"/>
    <w:rsid w:val="27D8555E"/>
    <w:rsid w:val="27E15995"/>
    <w:rsid w:val="27FD20A3"/>
    <w:rsid w:val="283A50A6"/>
    <w:rsid w:val="28795BCE"/>
    <w:rsid w:val="28A644E9"/>
    <w:rsid w:val="28E53263"/>
    <w:rsid w:val="28E55011"/>
    <w:rsid w:val="29351A49"/>
    <w:rsid w:val="294E0E09"/>
    <w:rsid w:val="29542197"/>
    <w:rsid w:val="29B669AE"/>
    <w:rsid w:val="29C54E43"/>
    <w:rsid w:val="29C5541F"/>
    <w:rsid w:val="29CE019B"/>
    <w:rsid w:val="2A262E65"/>
    <w:rsid w:val="2A4B17EC"/>
    <w:rsid w:val="2A5A1A2F"/>
    <w:rsid w:val="2A5B1E3C"/>
    <w:rsid w:val="2A7C7BF7"/>
    <w:rsid w:val="2A830F86"/>
    <w:rsid w:val="2AAC6DBF"/>
    <w:rsid w:val="2ABE1FBE"/>
    <w:rsid w:val="2AF27EBA"/>
    <w:rsid w:val="2B004385"/>
    <w:rsid w:val="2B08148B"/>
    <w:rsid w:val="2B2636BF"/>
    <w:rsid w:val="2B2F6A18"/>
    <w:rsid w:val="2B404781"/>
    <w:rsid w:val="2B626DED"/>
    <w:rsid w:val="2C1A76C8"/>
    <w:rsid w:val="2C267E1B"/>
    <w:rsid w:val="2C4C35F9"/>
    <w:rsid w:val="2C534988"/>
    <w:rsid w:val="2C6721E1"/>
    <w:rsid w:val="2C882884"/>
    <w:rsid w:val="2D12039F"/>
    <w:rsid w:val="2D502C75"/>
    <w:rsid w:val="2D962D7E"/>
    <w:rsid w:val="2DA52FC1"/>
    <w:rsid w:val="2DB168F4"/>
    <w:rsid w:val="2DB938B9"/>
    <w:rsid w:val="2DBD655D"/>
    <w:rsid w:val="2DDC3EBD"/>
    <w:rsid w:val="2E110FDA"/>
    <w:rsid w:val="2E625356"/>
    <w:rsid w:val="2EBA6F40"/>
    <w:rsid w:val="2EC67693"/>
    <w:rsid w:val="2EDA313F"/>
    <w:rsid w:val="2F3A3BDD"/>
    <w:rsid w:val="2F600CC5"/>
    <w:rsid w:val="2F6B737B"/>
    <w:rsid w:val="2F8F217B"/>
    <w:rsid w:val="2FA21EAE"/>
    <w:rsid w:val="2FC11C09"/>
    <w:rsid w:val="2FD162F0"/>
    <w:rsid w:val="2FF124EE"/>
    <w:rsid w:val="309061AB"/>
    <w:rsid w:val="30BC38D1"/>
    <w:rsid w:val="30C23E8A"/>
    <w:rsid w:val="30DA7426"/>
    <w:rsid w:val="31036665"/>
    <w:rsid w:val="31171054"/>
    <w:rsid w:val="31570A76"/>
    <w:rsid w:val="31653193"/>
    <w:rsid w:val="31772EC7"/>
    <w:rsid w:val="318C4BC4"/>
    <w:rsid w:val="32050DE4"/>
    <w:rsid w:val="32140715"/>
    <w:rsid w:val="323668DE"/>
    <w:rsid w:val="323D5EBE"/>
    <w:rsid w:val="324B7DB0"/>
    <w:rsid w:val="32566F80"/>
    <w:rsid w:val="325C22B0"/>
    <w:rsid w:val="33233306"/>
    <w:rsid w:val="332D7CE1"/>
    <w:rsid w:val="33447CF9"/>
    <w:rsid w:val="339715FE"/>
    <w:rsid w:val="339A4C4A"/>
    <w:rsid w:val="33D95773"/>
    <w:rsid w:val="34847806"/>
    <w:rsid w:val="34EE16F2"/>
    <w:rsid w:val="35284C04"/>
    <w:rsid w:val="35376956"/>
    <w:rsid w:val="357240D1"/>
    <w:rsid w:val="357D7750"/>
    <w:rsid w:val="35B446E9"/>
    <w:rsid w:val="35B91D00"/>
    <w:rsid w:val="36015455"/>
    <w:rsid w:val="36080591"/>
    <w:rsid w:val="360C4C8B"/>
    <w:rsid w:val="36127662"/>
    <w:rsid w:val="3632560E"/>
    <w:rsid w:val="364C2B74"/>
    <w:rsid w:val="3679148F"/>
    <w:rsid w:val="36A4475E"/>
    <w:rsid w:val="36B36E2F"/>
    <w:rsid w:val="36E20DE2"/>
    <w:rsid w:val="36E27034"/>
    <w:rsid w:val="37537F32"/>
    <w:rsid w:val="378105FB"/>
    <w:rsid w:val="38037262"/>
    <w:rsid w:val="38064FA4"/>
    <w:rsid w:val="380F20AB"/>
    <w:rsid w:val="3814146F"/>
    <w:rsid w:val="382036A8"/>
    <w:rsid w:val="38312021"/>
    <w:rsid w:val="38C509BB"/>
    <w:rsid w:val="38EF3C8A"/>
    <w:rsid w:val="38F52526"/>
    <w:rsid w:val="39070FD4"/>
    <w:rsid w:val="39706B79"/>
    <w:rsid w:val="399C171C"/>
    <w:rsid w:val="39A64C0C"/>
    <w:rsid w:val="39B0341A"/>
    <w:rsid w:val="39D32C64"/>
    <w:rsid w:val="39EB26A4"/>
    <w:rsid w:val="39F07CBA"/>
    <w:rsid w:val="3A241712"/>
    <w:rsid w:val="3A285E6F"/>
    <w:rsid w:val="3A43603C"/>
    <w:rsid w:val="3A4A73CA"/>
    <w:rsid w:val="3A5D034C"/>
    <w:rsid w:val="3A980657"/>
    <w:rsid w:val="3A9E7716"/>
    <w:rsid w:val="3B4E2EEA"/>
    <w:rsid w:val="3BA0301A"/>
    <w:rsid w:val="3C0E61D6"/>
    <w:rsid w:val="3C1C6B44"/>
    <w:rsid w:val="3C1E0B0E"/>
    <w:rsid w:val="3C2854E9"/>
    <w:rsid w:val="3C576F2F"/>
    <w:rsid w:val="3CB21257"/>
    <w:rsid w:val="3CDD2778"/>
    <w:rsid w:val="3CEF24AB"/>
    <w:rsid w:val="3CF63839"/>
    <w:rsid w:val="3D0C4E0B"/>
    <w:rsid w:val="3D271C45"/>
    <w:rsid w:val="3D2832C7"/>
    <w:rsid w:val="3D2C725B"/>
    <w:rsid w:val="3D5642D8"/>
    <w:rsid w:val="3DAB20BC"/>
    <w:rsid w:val="3DC254CA"/>
    <w:rsid w:val="3DED1430"/>
    <w:rsid w:val="3DF15DAF"/>
    <w:rsid w:val="3E015FF2"/>
    <w:rsid w:val="3E740EBA"/>
    <w:rsid w:val="3E8135D7"/>
    <w:rsid w:val="3E8B6203"/>
    <w:rsid w:val="3EB47508"/>
    <w:rsid w:val="3EBC460F"/>
    <w:rsid w:val="3EBF1A09"/>
    <w:rsid w:val="3EC314F9"/>
    <w:rsid w:val="3EC7548D"/>
    <w:rsid w:val="3F125FDD"/>
    <w:rsid w:val="3F277CDA"/>
    <w:rsid w:val="3F5A0851"/>
    <w:rsid w:val="3F9F1F66"/>
    <w:rsid w:val="3FBF6165"/>
    <w:rsid w:val="40532D51"/>
    <w:rsid w:val="405368AD"/>
    <w:rsid w:val="40B01F51"/>
    <w:rsid w:val="40E02836"/>
    <w:rsid w:val="40E55784"/>
    <w:rsid w:val="412C782A"/>
    <w:rsid w:val="4168377D"/>
    <w:rsid w:val="41D61543"/>
    <w:rsid w:val="41DB2FFE"/>
    <w:rsid w:val="42376281"/>
    <w:rsid w:val="42502C5A"/>
    <w:rsid w:val="42576B28"/>
    <w:rsid w:val="427369D4"/>
    <w:rsid w:val="42903DE8"/>
    <w:rsid w:val="42CD6DEA"/>
    <w:rsid w:val="43284021"/>
    <w:rsid w:val="443C7F5E"/>
    <w:rsid w:val="44531571"/>
    <w:rsid w:val="445C6678"/>
    <w:rsid w:val="44AD0C81"/>
    <w:rsid w:val="44D97CC8"/>
    <w:rsid w:val="44DC1567"/>
    <w:rsid w:val="44E93C90"/>
    <w:rsid w:val="451231DA"/>
    <w:rsid w:val="453749EF"/>
    <w:rsid w:val="453C0257"/>
    <w:rsid w:val="45BB5620"/>
    <w:rsid w:val="45D36916"/>
    <w:rsid w:val="460149F4"/>
    <w:rsid w:val="460C5E7C"/>
    <w:rsid w:val="4613720A"/>
    <w:rsid w:val="469F284C"/>
    <w:rsid w:val="46B856BC"/>
    <w:rsid w:val="475278BE"/>
    <w:rsid w:val="478B4B7E"/>
    <w:rsid w:val="47CA7D9C"/>
    <w:rsid w:val="481E3C44"/>
    <w:rsid w:val="48254FD3"/>
    <w:rsid w:val="484713ED"/>
    <w:rsid w:val="48691363"/>
    <w:rsid w:val="48790E7B"/>
    <w:rsid w:val="48943F06"/>
    <w:rsid w:val="48B14AB8"/>
    <w:rsid w:val="48CC2984"/>
    <w:rsid w:val="48DE703F"/>
    <w:rsid w:val="48E532BC"/>
    <w:rsid w:val="490177EE"/>
    <w:rsid w:val="49A9578D"/>
    <w:rsid w:val="49BF6D61"/>
    <w:rsid w:val="49C8030C"/>
    <w:rsid w:val="4A29760D"/>
    <w:rsid w:val="4A2A4B22"/>
    <w:rsid w:val="4A6F4C2B"/>
    <w:rsid w:val="4A791606"/>
    <w:rsid w:val="4AC07235"/>
    <w:rsid w:val="4AC62A9D"/>
    <w:rsid w:val="4B0709C0"/>
    <w:rsid w:val="4B2B2900"/>
    <w:rsid w:val="4BA3693A"/>
    <w:rsid w:val="4BB24DCF"/>
    <w:rsid w:val="4BB548C0"/>
    <w:rsid w:val="4BEA4569"/>
    <w:rsid w:val="4BFC24EE"/>
    <w:rsid w:val="4C001FDF"/>
    <w:rsid w:val="4C285091"/>
    <w:rsid w:val="4C325F10"/>
    <w:rsid w:val="4C87625C"/>
    <w:rsid w:val="4C8E13D7"/>
    <w:rsid w:val="4D0379E8"/>
    <w:rsid w:val="4D4C3002"/>
    <w:rsid w:val="4D875DE8"/>
    <w:rsid w:val="4DAE5A6A"/>
    <w:rsid w:val="4DCF5D52"/>
    <w:rsid w:val="4E0D2791"/>
    <w:rsid w:val="4E4168DE"/>
    <w:rsid w:val="4E451F2B"/>
    <w:rsid w:val="4E485577"/>
    <w:rsid w:val="4E4C150B"/>
    <w:rsid w:val="4E636855"/>
    <w:rsid w:val="4E7B3B9E"/>
    <w:rsid w:val="4F4246BC"/>
    <w:rsid w:val="4F477F24"/>
    <w:rsid w:val="4F4E12B3"/>
    <w:rsid w:val="4F5C39D0"/>
    <w:rsid w:val="4F622668"/>
    <w:rsid w:val="4F652159"/>
    <w:rsid w:val="4F8B6063"/>
    <w:rsid w:val="4F8F13B3"/>
    <w:rsid w:val="4FBF46A1"/>
    <w:rsid w:val="4FDD43E5"/>
    <w:rsid w:val="4FE13ED5"/>
    <w:rsid w:val="501778F7"/>
    <w:rsid w:val="505446A7"/>
    <w:rsid w:val="50884351"/>
    <w:rsid w:val="50C64E79"/>
    <w:rsid w:val="50E35A2B"/>
    <w:rsid w:val="50F33EC0"/>
    <w:rsid w:val="50F419E6"/>
    <w:rsid w:val="514566E6"/>
    <w:rsid w:val="514946EA"/>
    <w:rsid w:val="518965D2"/>
    <w:rsid w:val="51BC0756"/>
    <w:rsid w:val="51C615D4"/>
    <w:rsid w:val="51CB6BEB"/>
    <w:rsid w:val="52AD2165"/>
    <w:rsid w:val="52D10231"/>
    <w:rsid w:val="536410A5"/>
    <w:rsid w:val="53D74E97"/>
    <w:rsid w:val="549459BA"/>
    <w:rsid w:val="54AD4386"/>
    <w:rsid w:val="54B24092"/>
    <w:rsid w:val="54C55B73"/>
    <w:rsid w:val="54C76D1A"/>
    <w:rsid w:val="54E62D9C"/>
    <w:rsid w:val="55366A71"/>
    <w:rsid w:val="556C2493"/>
    <w:rsid w:val="557B0928"/>
    <w:rsid w:val="55AF2380"/>
    <w:rsid w:val="562B0879"/>
    <w:rsid w:val="56310FE7"/>
    <w:rsid w:val="566E3FE9"/>
    <w:rsid w:val="56737851"/>
    <w:rsid w:val="567E247E"/>
    <w:rsid w:val="56BE6D1E"/>
    <w:rsid w:val="56C1680E"/>
    <w:rsid w:val="56F72230"/>
    <w:rsid w:val="56FB1D20"/>
    <w:rsid w:val="573A3ECB"/>
    <w:rsid w:val="573C7C43"/>
    <w:rsid w:val="573E1C0D"/>
    <w:rsid w:val="574F5BC8"/>
    <w:rsid w:val="57616FFD"/>
    <w:rsid w:val="57686C8A"/>
    <w:rsid w:val="578A30A4"/>
    <w:rsid w:val="57A54DD9"/>
    <w:rsid w:val="57AE0B41"/>
    <w:rsid w:val="57B65C47"/>
    <w:rsid w:val="57BC2B32"/>
    <w:rsid w:val="580339E0"/>
    <w:rsid w:val="5807547D"/>
    <w:rsid w:val="582C415B"/>
    <w:rsid w:val="582F11F1"/>
    <w:rsid w:val="58417C07"/>
    <w:rsid w:val="58670CF0"/>
    <w:rsid w:val="58847AF3"/>
    <w:rsid w:val="58DC16DE"/>
    <w:rsid w:val="58F00CE5"/>
    <w:rsid w:val="58FA7DB6"/>
    <w:rsid w:val="597436C4"/>
    <w:rsid w:val="59883613"/>
    <w:rsid w:val="59EA1BD8"/>
    <w:rsid w:val="5A20384C"/>
    <w:rsid w:val="5A6C4CE3"/>
    <w:rsid w:val="5A7159CB"/>
    <w:rsid w:val="5A7F67C4"/>
    <w:rsid w:val="5A932270"/>
    <w:rsid w:val="5A971D60"/>
    <w:rsid w:val="5A9A1850"/>
    <w:rsid w:val="5ACE32A8"/>
    <w:rsid w:val="5AD42DE5"/>
    <w:rsid w:val="5AD85ED5"/>
    <w:rsid w:val="5B8D3163"/>
    <w:rsid w:val="5B977B3E"/>
    <w:rsid w:val="5BA65FD3"/>
    <w:rsid w:val="5BAA7871"/>
    <w:rsid w:val="5BC22E0D"/>
    <w:rsid w:val="5BEC46B6"/>
    <w:rsid w:val="5BF205C7"/>
    <w:rsid w:val="5BF345EE"/>
    <w:rsid w:val="5C1318BA"/>
    <w:rsid w:val="5C466E0C"/>
    <w:rsid w:val="5C4E28F2"/>
    <w:rsid w:val="5C5617A7"/>
    <w:rsid w:val="5D0905C7"/>
    <w:rsid w:val="5D0D455B"/>
    <w:rsid w:val="5D4C5428"/>
    <w:rsid w:val="5D9E196F"/>
    <w:rsid w:val="5DC80482"/>
    <w:rsid w:val="5DCB3ACF"/>
    <w:rsid w:val="5DD46E27"/>
    <w:rsid w:val="5E020933"/>
    <w:rsid w:val="5E8A398A"/>
    <w:rsid w:val="5EEE73AE"/>
    <w:rsid w:val="5EF50E58"/>
    <w:rsid w:val="5F526256"/>
    <w:rsid w:val="5F6F699B"/>
    <w:rsid w:val="5F814D8D"/>
    <w:rsid w:val="5F8B5C0B"/>
    <w:rsid w:val="5F904FD0"/>
    <w:rsid w:val="5F9920D6"/>
    <w:rsid w:val="5FD924D3"/>
    <w:rsid w:val="5FF44D27"/>
    <w:rsid w:val="5FF72043"/>
    <w:rsid w:val="601B0D3D"/>
    <w:rsid w:val="602045A6"/>
    <w:rsid w:val="605424A1"/>
    <w:rsid w:val="605D1356"/>
    <w:rsid w:val="607466A0"/>
    <w:rsid w:val="60BA0556"/>
    <w:rsid w:val="611539DF"/>
    <w:rsid w:val="612B1454"/>
    <w:rsid w:val="613320B7"/>
    <w:rsid w:val="61371BA7"/>
    <w:rsid w:val="61761C9C"/>
    <w:rsid w:val="618F19E3"/>
    <w:rsid w:val="61CB0541"/>
    <w:rsid w:val="61EA3E09"/>
    <w:rsid w:val="620B4DE2"/>
    <w:rsid w:val="62D0654E"/>
    <w:rsid w:val="62EC69C1"/>
    <w:rsid w:val="62F51D1A"/>
    <w:rsid w:val="63041F5D"/>
    <w:rsid w:val="6372336A"/>
    <w:rsid w:val="63A8012F"/>
    <w:rsid w:val="63E61662"/>
    <w:rsid w:val="63EF49BB"/>
    <w:rsid w:val="642B176B"/>
    <w:rsid w:val="642E6B65"/>
    <w:rsid w:val="64634A61"/>
    <w:rsid w:val="646D58E0"/>
    <w:rsid w:val="64C80D68"/>
    <w:rsid w:val="64CF20F6"/>
    <w:rsid w:val="64E05B42"/>
    <w:rsid w:val="65073EEF"/>
    <w:rsid w:val="650A312E"/>
    <w:rsid w:val="65222B6E"/>
    <w:rsid w:val="65624D19"/>
    <w:rsid w:val="65901B3B"/>
    <w:rsid w:val="65D323F9"/>
    <w:rsid w:val="65E43E12"/>
    <w:rsid w:val="65F20792"/>
    <w:rsid w:val="66C33EDD"/>
    <w:rsid w:val="66E13C20"/>
    <w:rsid w:val="670D6570"/>
    <w:rsid w:val="671B1623"/>
    <w:rsid w:val="671E7365"/>
    <w:rsid w:val="67256946"/>
    <w:rsid w:val="676236F6"/>
    <w:rsid w:val="677551D7"/>
    <w:rsid w:val="67792055"/>
    <w:rsid w:val="67AE06E9"/>
    <w:rsid w:val="67E1461B"/>
    <w:rsid w:val="67EB2A38"/>
    <w:rsid w:val="683B35C2"/>
    <w:rsid w:val="68497557"/>
    <w:rsid w:val="689C0A5B"/>
    <w:rsid w:val="68A37B22"/>
    <w:rsid w:val="68EC771B"/>
    <w:rsid w:val="68F22857"/>
    <w:rsid w:val="691722BE"/>
    <w:rsid w:val="692F7608"/>
    <w:rsid w:val="695E7EED"/>
    <w:rsid w:val="69CB37D4"/>
    <w:rsid w:val="69DA3A17"/>
    <w:rsid w:val="69DF33FB"/>
    <w:rsid w:val="6A266C5C"/>
    <w:rsid w:val="6A3B3D8A"/>
    <w:rsid w:val="6A615EE7"/>
    <w:rsid w:val="6AA61BD5"/>
    <w:rsid w:val="6AB627DE"/>
    <w:rsid w:val="6ACD70D8"/>
    <w:rsid w:val="6AF02164"/>
    <w:rsid w:val="6B2667E8"/>
    <w:rsid w:val="6B2A62D8"/>
    <w:rsid w:val="6B482C03"/>
    <w:rsid w:val="6B4849B1"/>
    <w:rsid w:val="6B6F63E1"/>
    <w:rsid w:val="6B9320D0"/>
    <w:rsid w:val="6C0528A2"/>
    <w:rsid w:val="6C315445"/>
    <w:rsid w:val="6C4C04D0"/>
    <w:rsid w:val="6C727F37"/>
    <w:rsid w:val="6C8B2DA7"/>
    <w:rsid w:val="6D150C1E"/>
    <w:rsid w:val="6D2A0812"/>
    <w:rsid w:val="6D4713C4"/>
    <w:rsid w:val="6D7D3037"/>
    <w:rsid w:val="6D9B2797"/>
    <w:rsid w:val="6DEE7A91"/>
    <w:rsid w:val="6DF350A8"/>
    <w:rsid w:val="6E05302D"/>
    <w:rsid w:val="6E070B53"/>
    <w:rsid w:val="6E0E3C8F"/>
    <w:rsid w:val="6E4B6C92"/>
    <w:rsid w:val="6EF32E85"/>
    <w:rsid w:val="6F06121E"/>
    <w:rsid w:val="6F26325B"/>
    <w:rsid w:val="6F833EDE"/>
    <w:rsid w:val="6FB027BB"/>
    <w:rsid w:val="6FD66A2F"/>
    <w:rsid w:val="6FF62C2D"/>
    <w:rsid w:val="702C48A1"/>
    <w:rsid w:val="705362D1"/>
    <w:rsid w:val="70545BA6"/>
    <w:rsid w:val="707D334E"/>
    <w:rsid w:val="709A3F00"/>
    <w:rsid w:val="70BF5715"/>
    <w:rsid w:val="712437CA"/>
    <w:rsid w:val="714D0F73"/>
    <w:rsid w:val="717C6C49"/>
    <w:rsid w:val="71A14E1B"/>
    <w:rsid w:val="71F238C8"/>
    <w:rsid w:val="71FD64F5"/>
    <w:rsid w:val="721970A7"/>
    <w:rsid w:val="722C0B88"/>
    <w:rsid w:val="72B809DB"/>
    <w:rsid w:val="72F83160"/>
    <w:rsid w:val="738A200A"/>
    <w:rsid w:val="73B52DFF"/>
    <w:rsid w:val="73BB6668"/>
    <w:rsid w:val="73BC23E0"/>
    <w:rsid w:val="73FE6554"/>
    <w:rsid w:val="74542618"/>
    <w:rsid w:val="74663604"/>
    <w:rsid w:val="7476258E"/>
    <w:rsid w:val="749869A9"/>
    <w:rsid w:val="74AE1D28"/>
    <w:rsid w:val="74E120FE"/>
    <w:rsid w:val="750C6A4F"/>
    <w:rsid w:val="751A5610"/>
    <w:rsid w:val="75322959"/>
    <w:rsid w:val="75B25848"/>
    <w:rsid w:val="75CB4B5C"/>
    <w:rsid w:val="761107C1"/>
    <w:rsid w:val="76270D96"/>
    <w:rsid w:val="76432944"/>
    <w:rsid w:val="764B7D6D"/>
    <w:rsid w:val="767945B8"/>
    <w:rsid w:val="76C577FD"/>
    <w:rsid w:val="76EC2FDC"/>
    <w:rsid w:val="76FE0619"/>
    <w:rsid w:val="771D3195"/>
    <w:rsid w:val="775A6197"/>
    <w:rsid w:val="775F4ECE"/>
    <w:rsid w:val="7763329E"/>
    <w:rsid w:val="778E5E41"/>
    <w:rsid w:val="784A7FBA"/>
    <w:rsid w:val="78623556"/>
    <w:rsid w:val="78741358"/>
    <w:rsid w:val="78C95383"/>
    <w:rsid w:val="791802C4"/>
    <w:rsid w:val="797F0137"/>
    <w:rsid w:val="79B002F1"/>
    <w:rsid w:val="7AAF67FA"/>
    <w:rsid w:val="7AE11866"/>
    <w:rsid w:val="7B340AAD"/>
    <w:rsid w:val="7B42766E"/>
    <w:rsid w:val="7B5573A2"/>
    <w:rsid w:val="7B8C2698"/>
    <w:rsid w:val="7BB3231A"/>
    <w:rsid w:val="7BD36518"/>
    <w:rsid w:val="7BEB5610"/>
    <w:rsid w:val="7C4D62CB"/>
    <w:rsid w:val="7C54555E"/>
    <w:rsid w:val="7C55517F"/>
    <w:rsid w:val="7C8141C6"/>
    <w:rsid w:val="7CBE0F77"/>
    <w:rsid w:val="7CC77E2B"/>
    <w:rsid w:val="7CFD1A9F"/>
    <w:rsid w:val="7D20753B"/>
    <w:rsid w:val="7D252DA4"/>
    <w:rsid w:val="7D592A4D"/>
    <w:rsid w:val="7D637428"/>
    <w:rsid w:val="7DA4016C"/>
    <w:rsid w:val="7DA44071"/>
    <w:rsid w:val="7DD32800"/>
    <w:rsid w:val="7DE44A0D"/>
    <w:rsid w:val="7E1A3F8B"/>
    <w:rsid w:val="7E81225C"/>
    <w:rsid w:val="7EB268B9"/>
    <w:rsid w:val="7EC81C39"/>
    <w:rsid w:val="7F2D4191"/>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18"/>
      <w:szCs w:val="18"/>
      <w:lang w:val="en-US" w:eastAsia="zh-CN" w:bidi="ar"/>
    </w:rPr>
  </w:style>
  <w:style w:type="paragraph" w:styleId="5">
    <w:name w:val="heading 3"/>
    <w:basedOn w:val="1"/>
    <w:next w:val="1"/>
    <w:unhideWhenUsed/>
    <w:qFormat/>
    <w:uiPriority w:val="0"/>
    <w:pPr>
      <w:widowControl/>
      <w:jc w:val="left"/>
      <w:outlineLvl w:val="2"/>
    </w:pPr>
    <w:rPr>
      <w:rFonts w:ascii="宋体" w:hAnsi="宋体" w:cs="宋体"/>
      <w:b/>
      <w:bCs/>
      <w:kern w:val="0"/>
      <w:sz w:val="27"/>
      <w:szCs w:val="27"/>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6">
    <w:name w:val="Body Text Indent"/>
    <w:basedOn w:val="1"/>
    <w:next w:val="2"/>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qFormat/>
    <w:uiPriority w:val="0"/>
    <w:pPr>
      <w:spacing w:after="0"/>
      <w:ind w:left="0" w:leftChars="0" w:firstLine="420"/>
    </w:pPr>
    <w:rPr>
      <w:rFonts w:ascii="仿宋_GB2312"/>
      <w:szCs w:val="20"/>
    </w:rPr>
  </w:style>
  <w:style w:type="character" w:styleId="13">
    <w:name w:val="Strong"/>
    <w:basedOn w:val="12"/>
    <w:qFormat/>
    <w:uiPriority w:val="0"/>
    <w:rPr>
      <w:b/>
    </w:rPr>
  </w:style>
  <w:style w:type="character" w:styleId="14">
    <w:name w:val="FollowedHyperlink"/>
    <w:basedOn w:val="12"/>
    <w:qFormat/>
    <w:uiPriority w:val="0"/>
    <w:rPr>
      <w:color w:val="595959"/>
      <w:u w:val="none"/>
    </w:rPr>
  </w:style>
  <w:style w:type="character" w:styleId="15">
    <w:name w:val="Hyperlink"/>
    <w:basedOn w:val="12"/>
    <w:qFormat/>
    <w:uiPriority w:val="0"/>
    <w:rPr>
      <w:color w:val="595959"/>
      <w:u w:val="none"/>
    </w:rPr>
  </w:style>
  <w:style w:type="character" w:customStyle="1" w:styleId="16">
    <w:name w:val="apple-converted-space"/>
    <w:basedOn w:val="12"/>
    <w:qFormat/>
    <w:uiPriority w:val="0"/>
  </w:style>
  <w:style w:type="character" w:customStyle="1" w:styleId="17">
    <w:name w:val="bsharetext"/>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6050</Words>
  <Characters>6367</Characters>
  <Lines>0</Lines>
  <Paragraphs>0</Paragraphs>
  <TotalTime>22</TotalTime>
  <ScaleCrop>false</ScaleCrop>
  <LinksUpToDate>false</LinksUpToDate>
  <CharactersWithSpaces>6769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2022-12-16T03:05:00Z</dcterms:created>
  <dc:creator>想让时间慢一点</dc:creator>
  <cp:lastModifiedBy>杜小四</cp:lastModifiedBy>
  <cp:lastPrinted>2024-01-15T15:17:00Z</cp:lastPrinted>
  <dcterms:modified xsi:type="dcterms:W3CDTF">2025-05-09T03:00:15Z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2B7F49F1A22540F88524A9A10F235D03_13</vt:lpwstr>
  </property>
</Properties>
</file>